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BED07E" w14:textId="56C82759" w:rsidR="00F74ED5" w:rsidRPr="002A31CA" w:rsidRDefault="00F74ED5" w:rsidP="00F74ED5">
      <w:pPr>
        <w:tabs>
          <w:tab w:val="left" w:pos="426"/>
        </w:tabs>
        <w:ind w:right="-1"/>
        <w:jc w:val="center"/>
        <w:rPr>
          <w:rFonts w:ascii="Times New Roman" w:eastAsia="標楷體" w:hAnsi="Times New Roman"/>
          <w:b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41E77AA" wp14:editId="7E19C908">
                <wp:simplePos x="0" y="0"/>
                <wp:positionH relativeFrom="column">
                  <wp:posOffset>5274742</wp:posOffset>
                </wp:positionH>
                <wp:positionV relativeFrom="paragraph">
                  <wp:posOffset>-328523</wp:posOffset>
                </wp:positionV>
                <wp:extent cx="956945" cy="400050"/>
                <wp:effectExtent l="0" t="0" r="14605" b="19050"/>
                <wp:wrapNone/>
                <wp:docPr id="1473346342" name="矩形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56945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E17DD0" w14:textId="77777777" w:rsidR="00F74ED5" w:rsidRPr="00FC31FA" w:rsidRDefault="00F74ED5" w:rsidP="00F74ED5">
                            <w:pPr>
                              <w:adjustRightInd w:val="0"/>
                              <w:snapToGrid w:val="0"/>
                              <w:spacing w:line="400" w:lineRule="exact"/>
                              <w:jc w:val="center"/>
                              <w:rPr>
                                <w:rFonts w:ascii="細明體" w:eastAsia="細明體" w:hAnsi="細明體"/>
                                <w:b/>
                                <w:sz w:val="28"/>
                                <w:szCs w:val="28"/>
                              </w:rPr>
                            </w:pPr>
                            <w:r w:rsidRPr="00FC31FA">
                              <w:rPr>
                                <w:rFonts w:ascii="細明體" w:eastAsia="細明體" w:hAnsi="細明體" w:hint="eastAsia"/>
                                <w:sz w:val="28"/>
                                <w:szCs w:val="28"/>
                              </w:rPr>
                              <w:t>附件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1E77AA" id="矩形 2" o:spid="_x0000_s1026" style="position:absolute;left:0;text-align:left;margin-left:415.35pt;margin-top:-25.85pt;width:75.3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">
                <v:textbox>
                  <w:txbxContent>
                    <w:p w14:paraId="3FE17DD0" w14:textId="77777777" w:rsidR="00F74ED5" w:rsidRPr="00FC31FA" w:rsidRDefault="00F74ED5" w:rsidP="00F74ED5">
                      <w:pPr>
                        <w:adjustRightInd w:val="0"/>
                        <w:snapToGrid w:val="0"/>
                        <w:spacing w:line="400" w:lineRule="exact"/>
                        <w:jc w:val="center"/>
                        <w:rPr>
                          <w:rFonts w:ascii="細明體" w:eastAsia="細明體" w:hAnsi="細明體"/>
                          <w:b/>
                          <w:sz w:val="28"/>
                          <w:szCs w:val="28"/>
                        </w:rPr>
                      </w:pPr>
                      <w:r w:rsidRPr="00FC31FA">
                        <w:rPr>
                          <w:rFonts w:ascii="細明體" w:eastAsia="細明體" w:hAnsi="細明體" w:hint="eastAsia"/>
                          <w:sz w:val="28"/>
                          <w:szCs w:val="28"/>
                        </w:rPr>
                        <w:t>附件</w:t>
                      </w:r>
                    </w:p>
                  </w:txbxContent>
                </v:textbox>
              </v:rect>
            </w:pict>
          </mc:Fallback>
        </mc:AlternateContent>
      </w:r>
      <w:r w:rsidRPr="002A31CA">
        <w:rPr>
          <w:rFonts w:ascii="Times New Roman" w:eastAsia="標楷體" w:hAnsi="Times New Roman" w:hint="eastAsia"/>
          <w:b/>
          <w:sz w:val="32"/>
          <w:szCs w:val="32"/>
        </w:rPr>
        <w:t>特定疾病病人牙科就醫安全計畫醫師自我考評</w:t>
      </w:r>
      <w:r w:rsidRPr="002A31CA">
        <w:rPr>
          <w:rFonts w:ascii="Times New Roman" w:eastAsia="標楷體" w:hAnsi="Times New Roman"/>
          <w:b/>
          <w:sz w:val="32"/>
          <w:szCs w:val="32"/>
        </w:rPr>
        <w:t>表</w:t>
      </w:r>
    </w:p>
    <w:p w14:paraId="1E515F2C" w14:textId="77777777" w:rsidR="00F74ED5" w:rsidRPr="002A31CA" w:rsidRDefault="00F74ED5" w:rsidP="00F74ED5">
      <w:pPr>
        <w:tabs>
          <w:tab w:val="left" w:pos="426"/>
        </w:tabs>
        <w:ind w:right="-568"/>
        <w:jc w:val="right"/>
        <w:rPr>
          <w:rFonts w:ascii="Times New Roman" w:eastAsia="標楷體" w:hAnsi="Times New Roman"/>
          <w:b/>
          <w:sz w:val="32"/>
          <w:szCs w:val="32"/>
        </w:rPr>
      </w:pPr>
      <w:r w:rsidRPr="002A31CA">
        <w:rPr>
          <w:rFonts w:ascii="Times New Roman" w:eastAsia="標楷體" w:hAnsi="Times New Roman"/>
          <w:sz w:val="28"/>
          <w:szCs w:val="28"/>
        </w:rPr>
        <w:t>填表日</w:t>
      </w:r>
      <w:r w:rsidRPr="00FC31FA">
        <w:rPr>
          <w:rFonts w:ascii="Times New Roman" w:eastAsia="標楷體" w:hAnsi="Times New Roman"/>
          <w:sz w:val="28"/>
          <w:szCs w:val="28"/>
        </w:rPr>
        <w:t>期：</w:t>
      </w:r>
      <w:r w:rsidRPr="00FC31FA">
        <w:rPr>
          <w:rFonts w:ascii="Times New Roman" w:eastAsia="標楷體" w:hAnsi="Times New Roman"/>
          <w:bCs/>
          <w:sz w:val="28"/>
          <w:szCs w:val="28"/>
          <w:u w:val="single"/>
        </w:rPr>
        <w:t xml:space="preserve"> </w:t>
      </w:r>
      <w:r w:rsidRPr="00FC31FA">
        <w:rPr>
          <w:rFonts w:ascii="Times New Roman" w:eastAsia="標楷體" w:hAnsi="Times New Roman" w:hint="eastAsia"/>
          <w:bCs/>
          <w:sz w:val="28"/>
          <w:szCs w:val="28"/>
          <w:u w:val="single"/>
        </w:rPr>
        <w:t xml:space="preserve">  </w:t>
      </w:r>
      <w:r w:rsidRPr="00FC31FA">
        <w:rPr>
          <w:rFonts w:ascii="Times New Roman" w:eastAsia="標楷體" w:hAnsi="Times New Roman"/>
          <w:bCs/>
          <w:sz w:val="28"/>
          <w:szCs w:val="28"/>
          <w:u w:val="single"/>
        </w:rPr>
        <w:t xml:space="preserve">  </w:t>
      </w:r>
      <w:r w:rsidRPr="00FC31FA">
        <w:rPr>
          <w:rFonts w:ascii="Times New Roman" w:eastAsia="標楷體" w:hAnsi="Times New Roman" w:hint="eastAsia"/>
          <w:bCs/>
          <w:sz w:val="28"/>
          <w:szCs w:val="28"/>
        </w:rPr>
        <w:t>年</w:t>
      </w:r>
      <w:r w:rsidRPr="00FC31FA">
        <w:rPr>
          <w:rFonts w:ascii="Times New Roman" w:eastAsia="標楷體" w:hAnsi="Times New Roman" w:hint="eastAsia"/>
          <w:bCs/>
          <w:sz w:val="28"/>
          <w:szCs w:val="28"/>
          <w:u w:val="single"/>
        </w:rPr>
        <w:t xml:space="preserve">     </w:t>
      </w:r>
      <w:r w:rsidRPr="00FC31FA">
        <w:rPr>
          <w:rFonts w:ascii="Times New Roman" w:eastAsia="標楷體" w:hAnsi="Times New Roman" w:hint="eastAsia"/>
          <w:bCs/>
          <w:sz w:val="28"/>
          <w:szCs w:val="28"/>
        </w:rPr>
        <w:t>月</w:t>
      </w:r>
      <w:r w:rsidRPr="00FC31FA">
        <w:rPr>
          <w:rFonts w:ascii="Times New Roman" w:eastAsia="標楷體" w:hAnsi="Times New Roman"/>
          <w:bCs/>
          <w:sz w:val="28"/>
          <w:szCs w:val="28"/>
          <w:u w:val="single"/>
        </w:rPr>
        <w:t xml:space="preserve">   </w:t>
      </w:r>
      <w:r w:rsidRPr="00FC31FA">
        <w:rPr>
          <w:rFonts w:ascii="Times New Roman" w:eastAsia="標楷體" w:hAnsi="Times New Roman" w:hint="eastAsia"/>
          <w:bCs/>
          <w:sz w:val="28"/>
          <w:szCs w:val="28"/>
          <w:u w:val="single"/>
        </w:rPr>
        <w:t xml:space="preserve">  </w:t>
      </w:r>
      <w:r w:rsidRPr="00FC31FA">
        <w:rPr>
          <w:rFonts w:ascii="Times New Roman" w:eastAsia="標楷體" w:hAnsi="Times New Roman" w:hint="eastAsia"/>
          <w:bCs/>
          <w:sz w:val="28"/>
          <w:szCs w:val="28"/>
        </w:rPr>
        <w:t>日</w:t>
      </w:r>
    </w:p>
    <w:tbl>
      <w:tblPr>
        <w:tblW w:w="1037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06"/>
        <w:gridCol w:w="5071"/>
      </w:tblGrid>
      <w:tr w:rsidR="00F74ED5" w:rsidRPr="002A31CA" w14:paraId="7C0B2296" w14:textId="77777777" w:rsidTr="00FC31FA">
        <w:trPr>
          <w:trHeight w:val="817"/>
        </w:trPr>
        <w:tc>
          <w:tcPr>
            <w:tcW w:w="5306" w:type="dxa"/>
            <w:shd w:val="clear" w:color="auto" w:fill="auto"/>
          </w:tcPr>
          <w:p w14:paraId="32BCD5F4" w14:textId="77777777" w:rsidR="00F74ED5" w:rsidRPr="002A31CA" w:rsidRDefault="00F74ED5" w:rsidP="00FE21FF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2A31CA">
              <w:rPr>
                <w:rFonts w:ascii="Times New Roman" w:eastAsia="標楷體" w:hAnsi="Times New Roman" w:hint="eastAsia"/>
                <w:sz w:val="28"/>
                <w:szCs w:val="28"/>
              </w:rPr>
              <w:t>醫</w:t>
            </w:r>
            <w:proofErr w:type="gramEnd"/>
            <w:r w:rsidRPr="002A31CA">
              <w:rPr>
                <w:rFonts w:ascii="Times New Roman" w:eastAsia="標楷體" w:hAnsi="Times New Roman" w:hint="eastAsia"/>
                <w:sz w:val="28"/>
                <w:szCs w:val="28"/>
              </w:rPr>
              <w:t>事服務機構名稱：</w:t>
            </w:r>
          </w:p>
        </w:tc>
        <w:tc>
          <w:tcPr>
            <w:tcW w:w="5071" w:type="dxa"/>
            <w:shd w:val="clear" w:color="auto" w:fill="auto"/>
          </w:tcPr>
          <w:p w14:paraId="1168C99C" w14:textId="77777777" w:rsidR="00F74ED5" w:rsidRPr="002A31CA" w:rsidRDefault="00F74ED5" w:rsidP="00FE21FF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2A31CA">
              <w:rPr>
                <w:rFonts w:ascii="Times New Roman" w:eastAsia="標楷體" w:hAnsi="Times New Roman" w:hint="eastAsia"/>
                <w:sz w:val="28"/>
                <w:szCs w:val="28"/>
              </w:rPr>
              <w:t>醫</w:t>
            </w:r>
            <w:proofErr w:type="gramEnd"/>
            <w:r w:rsidRPr="002A31CA">
              <w:rPr>
                <w:rFonts w:ascii="Times New Roman" w:eastAsia="標楷體" w:hAnsi="Times New Roman" w:hint="eastAsia"/>
                <w:sz w:val="28"/>
                <w:szCs w:val="28"/>
              </w:rPr>
              <w:t>事服務機構代號：</w:t>
            </w:r>
          </w:p>
        </w:tc>
      </w:tr>
      <w:tr w:rsidR="00F74ED5" w:rsidRPr="002A31CA" w14:paraId="3A431366" w14:textId="77777777" w:rsidTr="00FC31FA">
        <w:tc>
          <w:tcPr>
            <w:tcW w:w="5306" w:type="dxa"/>
            <w:shd w:val="clear" w:color="auto" w:fill="auto"/>
          </w:tcPr>
          <w:p w14:paraId="523AC82E" w14:textId="77777777" w:rsidR="00F74ED5" w:rsidRPr="002A31CA" w:rsidRDefault="00F74ED5" w:rsidP="00FE21FF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sz w:val="28"/>
                <w:szCs w:val="28"/>
              </w:rPr>
              <w:t>醫師姓名：</w:t>
            </w:r>
            <w:r w:rsidRPr="002A31CA">
              <w:rPr>
                <w:rFonts w:ascii="Times New Roman" w:eastAsia="標楷體" w:hAnsi="Times New Roman" w:hint="eastAsia"/>
                <w:sz w:val="28"/>
                <w:szCs w:val="28"/>
              </w:rPr>
              <w:t>(</w:t>
            </w:r>
            <w:proofErr w:type="gramStart"/>
            <w:r w:rsidRPr="002A31CA">
              <w:rPr>
                <w:rFonts w:ascii="Times New Roman" w:eastAsia="標楷體" w:hAnsi="Times New Roman"/>
                <w:sz w:val="28"/>
                <w:szCs w:val="28"/>
              </w:rPr>
              <w:t>醫師親簽</w:t>
            </w:r>
            <w:proofErr w:type="gramEnd"/>
            <w:r w:rsidRPr="002A31CA">
              <w:rPr>
                <w:rFonts w:ascii="Times New Roman" w:eastAsia="標楷體" w:hAnsi="Times New Roman"/>
                <w:sz w:val="28"/>
                <w:szCs w:val="28"/>
              </w:rPr>
              <w:t>)</w:t>
            </w:r>
          </w:p>
          <w:p w14:paraId="341E77EF" w14:textId="77777777" w:rsidR="00F74ED5" w:rsidRPr="002A31CA" w:rsidRDefault="00F74ED5" w:rsidP="00FE21FF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</w:p>
          <w:p w14:paraId="0FEBE2E5" w14:textId="77777777" w:rsidR="00F74ED5" w:rsidRPr="002A31CA" w:rsidRDefault="00F74ED5" w:rsidP="00FE21FF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  <w:tc>
          <w:tcPr>
            <w:tcW w:w="5071" w:type="dxa"/>
            <w:shd w:val="clear" w:color="auto" w:fill="auto"/>
          </w:tcPr>
          <w:p w14:paraId="676C2136" w14:textId="77777777" w:rsidR="00F74ED5" w:rsidRPr="002A31CA" w:rsidRDefault="00F74ED5" w:rsidP="00FE21FF">
            <w:pPr>
              <w:adjustRightInd w:val="0"/>
              <w:snapToGrid w:val="0"/>
              <w:spacing w:line="240" w:lineRule="atLeast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sz w:val="28"/>
                <w:szCs w:val="28"/>
              </w:rPr>
              <w:t>醫師身分證字號：</w:t>
            </w:r>
          </w:p>
        </w:tc>
      </w:tr>
    </w:tbl>
    <w:p w14:paraId="3A4BF06B" w14:textId="77777777" w:rsidR="00F74ED5" w:rsidRPr="002A31CA" w:rsidRDefault="00F74ED5" w:rsidP="00F74ED5">
      <w:pPr>
        <w:autoSpaceDE w:val="0"/>
        <w:autoSpaceDN w:val="0"/>
        <w:adjustRightInd w:val="0"/>
        <w:snapToGrid w:val="0"/>
        <w:spacing w:line="48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/>
          <w:b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b/>
          <w:kern w:val="0"/>
          <w:sz w:val="28"/>
          <w:szCs w:val="28"/>
        </w:rPr>
        <w:t>【前言】</w:t>
      </w:r>
    </w:p>
    <w:p w14:paraId="0E5313D6" w14:textId="77777777" w:rsidR="00F74ED5" w:rsidRPr="002A31CA" w:rsidRDefault="00F74ED5" w:rsidP="00F74ED5">
      <w:pPr>
        <w:autoSpaceDE w:val="0"/>
        <w:autoSpaceDN w:val="0"/>
        <w:adjustRightInd w:val="0"/>
        <w:snapToGrid w:val="0"/>
        <w:spacing w:line="240" w:lineRule="atLeast"/>
        <w:ind w:leftChars="-177" w:left="-425" w:rightChars="-236" w:right="-56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因應</w:t>
      </w:r>
      <w:r w:rsidRPr="002A31CA">
        <w:rPr>
          <w:rFonts w:ascii="Times New Roman" w:eastAsia="標楷體" w:hAnsi="Times New Roman" w:hint="eastAsia"/>
          <w:kern w:val="0"/>
          <w:sz w:val="28"/>
          <w:szCs w:val="28"/>
        </w:rPr>
        <w:t>特定疾病病人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在牙科求診時，牙醫師得保障其就醫安全，查詢相關用藥，並因應病人用藥內容及全身性狀況妥善擬定治療計畫。</w:t>
      </w:r>
    </w:p>
    <w:tbl>
      <w:tblPr>
        <w:tblW w:w="10349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116"/>
      </w:tblGrid>
      <w:tr w:rsidR="00F74ED5" w:rsidRPr="002A31CA" w14:paraId="63DA6DD1" w14:textId="77777777" w:rsidTr="00FC31FA">
        <w:trPr>
          <w:tblHeader/>
        </w:trPr>
        <w:tc>
          <w:tcPr>
            <w:tcW w:w="1390" w:type="dxa"/>
            <w:shd w:val="clear" w:color="auto" w:fill="auto"/>
          </w:tcPr>
          <w:p w14:paraId="242CBFDA" w14:textId="77777777" w:rsidR="00F74ED5" w:rsidRPr="002A31CA" w:rsidRDefault="00F74ED5" w:rsidP="00FE21FF">
            <w:pPr>
              <w:adjustRightInd w:val="0"/>
              <w:snapToGrid w:val="0"/>
              <w:spacing w:line="240" w:lineRule="atLeast"/>
              <w:ind w:rightChars="-45" w:right="-108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14:paraId="63C8D021" w14:textId="77777777" w:rsidR="00F74ED5" w:rsidRPr="002A31CA" w:rsidRDefault="00F74ED5" w:rsidP="005028B6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116" w:type="dxa"/>
            <w:shd w:val="clear" w:color="auto" w:fill="auto"/>
          </w:tcPr>
          <w:p w14:paraId="29E57C33" w14:textId="77777777" w:rsidR="00F74ED5" w:rsidRPr="002A31CA" w:rsidRDefault="00F74ED5" w:rsidP="0028753B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F74ED5" w:rsidRPr="002A31CA" w14:paraId="717EAE2D" w14:textId="77777777" w:rsidTr="00FC31FA">
        <w:tc>
          <w:tcPr>
            <w:tcW w:w="1390" w:type="dxa"/>
            <w:shd w:val="clear" w:color="auto" w:fill="auto"/>
          </w:tcPr>
          <w:p w14:paraId="4DB3DB18" w14:textId="77777777" w:rsidR="00F74ED5" w:rsidRPr="002A31CA" w:rsidRDefault="00F74ED5" w:rsidP="00FE21FF">
            <w:pPr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07E8FE57" w14:textId="77777777" w:rsidR="00F74ED5" w:rsidRPr="002A31CA" w:rsidRDefault="00F74ED5" w:rsidP="00FE21FF">
            <w:pPr>
              <w:adjustRightInd w:val="0"/>
              <w:snapToGrid w:val="0"/>
              <w:spacing w:line="400" w:lineRule="atLeast"/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一、糖尿病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降血糖藥物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)</w:t>
            </w:r>
          </w:p>
        </w:tc>
        <w:tc>
          <w:tcPr>
            <w:tcW w:w="7116" w:type="dxa"/>
            <w:shd w:val="clear" w:color="auto" w:fill="auto"/>
          </w:tcPr>
          <w:p w14:paraId="1072022F" w14:textId="77777777" w:rsidR="00F74ED5" w:rsidRPr="002A31CA" w:rsidRDefault="00F74ED5" w:rsidP="00FC31FA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380" w:lineRule="atLeast"/>
              <w:ind w:left="488" w:rightChars="104" w:right="250" w:hanging="488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細明體" w:eastAsia="標楷體" w:hAnsi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且記載於病歷。</w:t>
            </w:r>
          </w:p>
          <w:p w14:paraId="00CA8FDB" w14:textId="77777777" w:rsidR="00F74ED5" w:rsidRPr="002A31CA" w:rsidRDefault="00F74ED5" w:rsidP="00FC31FA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380" w:lineRule="atLeast"/>
              <w:ind w:left="488" w:rightChars="104" w:right="250" w:hanging="488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14:paraId="75FD82AC" w14:textId="77777777" w:rsidR="00F74ED5" w:rsidRPr="002A31CA" w:rsidRDefault="00F74ED5" w:rsidP="00FC31FA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380" w:lineRule="atLeast"/>
              <w:ind w:left="488" w:rightChars="104" w:right="250" w:hanging="488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掌握病人血糖監控狀況，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</w:t>
            </w:r>
            <w:r w:rsidRPr="008A7330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六</w:t>
            </w:r>
            <w:r w:rsidRPr="00CA2A7E">
              <w:rPr>
                <w:rFonts w:ascii="Times New Roman" w:eastAsia="標楷體" w:hAnsi="Times New Roman"/>
                <w:kern w:val="0"/>
                <w:sz w:val="28"/>
                <w:szCs w:val="28"/>
              </w:rPr>
              <w:t>個月內</w:t>
            </w:r>
            <w:proofErr w:type="gramStart"/>
            <w:r w:rsidRPr="00CA2A7E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之醣</w:t>
            </w:r>
            <w:r w:rsidRPr="00CA2A7E">
              <w:rPr>
                <w:rFonts w:ascii="Times New Roman" w:eastAsia="標楷體" w:hAnsi="Times New Roman"/>
                <w:kern w:val="0"/>
                <w:sz w:val="28"/>
                <w:szCs w:val="28"/>
              </w:rPr>
              <w:t>化血</w:t>
            </w:r>
            <w:r w:rsidRPr="00CA2A7E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紅</w:t>
            </w:r>
            <w:r w:rsidRPr="00CA2A7E">
              <w:rPr>
                <w:rFonts w:ascii="Times New Roman" w:eastAsia="標楷體" w:hAnsi="Times New Roman"/>
                <w:kern w:val="0"/>
                <w:sz w:val="28"/>
                <w:szCs w:val="28"/>
              </w:rPr>
              <w:t>素</w:t>
            </w:r>
            <w:proofErr w:type="gramEnd"/>
            <w:r w:rsidRPr="00CA2A7E">
              <w:rPr>
                <w:rFonts w:ascii="Times New Roman" w:eastAsia="標楷體" w:hAnsi="Times New Roman"/>
                <w:kern w:val="0"/>
                <w:sz w:val="28"/>
                <w:szCs w:val="28"/>
              </w:rPr>
              <w:t>(HbA1c)</w:t>
            </w:r>
            <w:r w:rsidRPr="00CA2A7E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或最近一次</w:t>
            </w:r>
            <w:r w:rsidRPr="00CA2A7E">
              <w:rPr>
                <w:rFonts w:ascii="Times New Roman" w:eastAsia="標楷體" w:hAnsi="Times New Roman"/>
                <w:kern w:val="0"/>
                <w:sz w:val="28"/>
                <w:szCs w:val="28"/>
              </w:rPr>
              <w:t>空腹血糖</w:t>
            </w:r>
            <w:r w:rsidRPr="00CA2A7E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(</w:t>
            </w:r>
            <w:r w:rsidRPr="00CA2A7E">
              <w:rPr>
                <w:rFonts w:ascii="Times New Roman" w:eastAsia="標楷體" w:hAnsi="Times New Roman"/>
                <w:kern w:val="0"/>
                <w:sz w:val="28"/>
                <w:szCs w:val="28"/>
              </w:rPr>
              <w:t>AC sugar</w:t>
            </w:r>
            <w:r w:rsidRPr="00CA2A7E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的血糖值病歷評估及追蹤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(HbA1c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數值，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&lt;7%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代表血糖值控制良好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。</w:t>
            </w:r>
          </w:p>
          <w:p w14:paraId="198AF095" w14:textId="77777777" w:rsidR="00F74ED5" w:rsidRPr="002A31CA" w:rsidRDefault="00F74ED5" w:rsidP="00FC31FA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380" w:lineRule="atLeast"/>
              <w:ind w:left="488" w:rightChars="104" w:right="250" w:hanging="488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病人牙科治療前三</w:t>
            </w:r>
            <w:proofErr w:type="gramStart"/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個</w:t>
            </w:r>
            <w:proofErr w:type="gramEnd"/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月之用藥，含糖尿病用藥、心血管用藥、腎臟性疾病、眼科疾病用藥。</w:t>
            </w:r>
          </w:p>
          <w:p w14:paraId="023C38F5" w14:textId="77777777" w:rsidR="00F74ED5" w:rsidRPr="002A31CA" w:rsidRDefault="00F74ED5" w:rsidP="00FC31FA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380" w:lineRule="atLeast"/>
              <w:ind w:left="488" w:rightChars="104" w:right="250" w:hanging="488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病人牙科治療當天，服藥及用餐狀況了解及詢問。</w:t>
            </w:r>
          </w:p>
          <w:p w14:paraId="5B61C4A7" w14:textId="77777777" w:rsidR="00F74ED5" w:rsidRPr="008C697C" w:rsidRDefault="00F74ED5" w:rsidP="00FC31FA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380" w:lineRule="atLeast"/>
              <w:ind w:left="488" w:rightChars="104" w:right="250" w:hanging="488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打胰島素之病人，因降血糖速度較快，要準備糖果或含糖</w:t>
            </w:r>
            <w:r w:rsidRPr="008C697C">
              <w:rPr>
                <w:rFonts w:ascii="Times New Roman" w:eastAsia="標楷體" w:hAnsi="Times New Roman"/>
                <w:kern w:val="0"/>
                <w:sz w:val="28"/>
                <w:szCs w:val="28"/>
              </w:rPr>
              <w:t>飲料以預防低血糖。</w:t>
            </w:r>
          </w:p>
          <w:p w14:paraId="50C2169B" w14:textId="77777777" w:rsidR="00F74ED5" w:rsidRPr="00F74ED5" w:rsidRDefault="00F74ED5" w:rsidP="00FC31FA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380" w:lineRule="atLeast"/>
              <w:ind w:left="488" w:rightChars="104" w:right="250" w:hanging="488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F74ED5">
              <w:rPr>
                <w:rFonts w:ascii="Times New Roman" w:eastAsia="標楷體" w:hAnsi="Times New Roman"/>
                <w:kern w:val="0"/>
                <w:sz w:val="28"/>
                <w:szCs w:val="28"/>
              </w:rPr>
              <w:t>術前預防性投藥</w:t>
            </w:r>
            <w:r w:rsidRPr="00F74ED5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F74ED5">
              <w:rPr>
                <w:rFonts w:ascii="Times New Roman" w:eastAsia="標楷體" w:hAnsi="Times New Roman"/>
                <w:kern w:val="0"/>
                <w:sz w:val="28"/>
                <w:szCs w:val="28"/>
              </w:rPr>
              <w:t>視病情狀況需要</w:t>
            </w:r>
            <w:r w:rsidRPr="00F74ED5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F74ED5">
              <w:rPr>
                <w:rFonts w:ascii="Times New Roman" w:eastAsia="標楷體" w:hAnsi="Times New Roman"/>
                <w:kern w:val="0"/>
                <w:sz w:val="28"/>
                <w:szCs w:val="28"/>
              </w:rPr>
              <w:t>。</w:t>
            </w:r>
          </w:p>
          <w:p w14:paraId="40EA2448" w14:textId="77777777" w:rsidR="00F74ED5" w:rsidRPr="00FC31FA" w:rsidRDefault="00F74ED5" w:rsidP="00FC31FA">
            <w:pPr>
              <w:numPr>
                <w:ilvl w:val="0"/>
                <w:numId w:val="13"/>
              </w:numPr>
              <w:autoSpaceDE w:val="0"/>
              <w:autoSpaceDN w:val="0"/>
              <w:adjustRightInd w:val="0"/>
              <w:snapToGrid w:val="0"/>
              <w:spacing w:line="380" w:lineRule="atLeast"/>
              <w:ind w:left="488" w:rightChars="104" w:right="250" w:hanging="488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FC31FA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FC31FA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治療前宜照會</w:t>
            </w:r>
            <w:proofErr w:type="gramEnd"/>
            <w:r w:rsidRPr="00FC31FA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或轉診至其他相關單位做進一步診治。</w:t>
            </w:r>
          </w:p>
        </w:tc>
      </w:tr>
    </w:tbl>
    <w:p w14:paraId="23ECF441" w14:textId="77777777" w:rsidR="00F74ED5" w:rsidRPr="002A31CA" w:rsidRDefault="00F74ED5" w:rsidP="00F74ED5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/>
          <w:b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b/>
          <w:kern w:val="0"/>
          <w:sz w:val="28"/>
          <w:szCs w:val="28"/>
        </w:rPr>
        <w:t>【背景說明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參考事項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/>
          <w:b/>
          <w:kern w:val="0"/>
          <w:sz w:val="28"/>
          <w:szCs w:val="28"/>
        </w:rPr>
        <w:t>】</w:t>
      </w:r>
    </w:p>
    <w:p w14:paraId="5463177C" w14:textId="77777777" w:rsidR="00F74ED5" w:rsidRPr="002A31CA" w:rsidRDefault="00F74ED5" w:rsidP="00F74ED5">
      <w:pPr>
        <w:numPr>
          <w:ilvl w:val="3"/>
          <w:numId w:val="19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hanging="42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確認病人</w:t>
      </w:r>
      <w:r w:rsidRPr="008A7330">
        <w:rPr>
          <w:rFonts w:ascii="Times New Roman" w:eastAsia="標楷體" w:hAnsi="Times New Roman" w:hint="eastAsia"/>
          <w:kern w:val="0"/>
          <w:sz w:val="28"/>
          <w:szCs w:val="28"/>
        </w:rPr>
        <w:t>六</w:t>
      </w:r>
      <w:r w:rsidRPr="00CA2A7E">
        <w:rPr>
          <w:rFonts w:ascii="Times New Roman" w:eastAsia="標楷體" w:hAnsi="Times New Roman"/>
          <w:kern w:val="0"/>
          <w:sz w:val="28"/>
          <w:szCs w:val="28"/>
        </w:rPr>
        <w:t>個月內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血糖控制的狀況，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AC sugar(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空腹血糖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較高但仍在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70-200 mg/dL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，經由牙醫師評估仍可接受手術。</w:t>
      </w:r>
    </w:p>
    <w:p w14:paraId="7888E0E3" w14:textId="77777777" w:rsidR="00F74ED5" w:rsidRPr="002A31CA" w:rsidRDefault="00F74ED5" w:rsidP="00F74ED5">
      <w:pPr>
        <w:numPr>
          <w:ilvl w:val="3"/>
          <w:numId w:val="19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hanging="42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若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AC sugar(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空腹血糖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)&gt;300mg/dL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且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HbA1c(</w:t>
      </w:r>
      <w:proofErr w:type="gramStart"/>
      <w:r w:rsidRPr="002A31CA">
        <w:rPr>
          <w:rFonts w:ascii="Times New Roman" w:eastAsia="標楷體" w:hAnsi="Times New Roman" w:hint="eastAsia"/>
          <w:kern w:val="0"/>
          <w:sz w:val="28"/>
          <w:szCs w:val="28"/>
        </w:rPr>
        <w:t>醣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化血</w:t>
      </w:r>
      <w:r w:rsidRPr="002A31CA">
        <w:rPr>
          <w:rFonts w:ascii="Times New Roman" w:eastAsia="標楷體" w:hAnsi="Times New Roman" w:hint="eastAsia"/>
          <w:kern w:val="0"/>
          <w:sz w:val="28"/>
          <w:szCs w:val="28"/>
        </w:rPr>
        <w:t>紅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素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)&gt;9%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則不建議執行侵入性治療。</w:t>
      </w:r>
    </w:p>
    <w:p w14:paraId="3628536F" w14:textId="77777777" w:rsidR="00F74ED5" w:rsidRPr="002A31CA" w:rsidRDefault="00F74ED5" w:rsidP="00FC31FA">
      <w:pPr>
        <w:numPr>
          <w:ilvl w:val="3"/>
          <w:numId w:val="19"/>
        </w:numPr>
        <w:autoSpaceDE w:val="0"/>
        <w:autoSpaceDN w:val="0"/>
        <w:adjustRightInd w:val="0"/>
        <w:snapToGrid w:val="0"/>
        <w:spacing w:line="240" w:lineRule="atLeast"/>
        <w:ind w:left="141" w:rightChars="-236" w:right="-566" w:hanging="425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病人</w:t>
      </w:r>
      <w:proofErr w:type="gramStart"/>
      <w:r w:rsidRPr="002A31CA">
        <w:rPr>
          <w:rFonts w:ascii="Times New Roman" w:eastAsia="標楷體" w:hAnsi="Times New Roman"/>
          <w:kern w:val="0"/>
          <w:sz w:val="28"/>
          <w:szCs w:val="28"/>
        </w:rPr>
        <w:t>年紀偏大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、</w:t>
      </w:r>
      <w:proofErr w:type="gramStart"/>
      <w:r w:rsidRPr="002A31CA">
        <w:rPr>
          <w:rFonts w:ascii="Times New Roman" w:eastAsia="標楷體" w:hAnsi="Times New Roman"/>
          <w:kern w:val="0"/>
          <w:sz w:val="28"/>
          <w:szCs w:val="28"/>
        </w:rPr>
        <w:t>病史較長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，若病情需要必須執行侵入性治療，則必須告知病人風險並由牙醫師審慎評估。</w:t>
      </w:r>
    </w:p>
    <w:tbl>
      <w:tblPr>
        <w:tblW w:w="10349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116"/>
      </w:tblGrid>
      <w:tr w:rsidR="00F74ED5" w:rsidRPr="002A31CA" w14:paraId="197A1CA4" w14:textId="77777777" w:rsidTr="00FC31FA">
        <w:trPr>
          <w:tblHeader/>
        </w:trPr>
        <w:tc>
          <w:tcPr>
            <w:tcW w:w="1390" w:type="dxa"/>
            <w:shd w:val="clear" w:color="auto" w:fill="auto"/>
          </w:tcPr>
          <w:p w14:paraId="4415A39D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ind w:rightChars="-45" w:right="-108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14:paraId="0D329328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116" w:type="dxa"/>
            <w:shd w:val="clear" w:color="auto" w:fill="auto"/>
          </w:tcPr>
          <w:p w14:paraId="68442631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F74ED5" w:rsidRPr="002A31CA" w14:paraId="65555E8D" w14:textId="77777777" w:rsidTr="00FC31FA">
        <w:tc>
          <w:tcPr>
            <w:tcW w:w="1390" w:type="dxa"/>
            <w:shd w:val="clear" w:color="auto" w:fill="auto"/>
          </w:tcPr>
          <w:p w14:paraId="7CA97633" w14:textId="77777777" w:rsidR="00F74ED5" w:rsidRPr="002A31CA" w:rsidRDefault="00F74ED5" w:rsidP="00FE21FF">
            <w:pPr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0C286C54" w14:textId="77777777" w:rsidR="00F74ED5" w:rsidRPr="002A31CA" w:rsidRDefault="00F74ED5" w:rsidP="00FE21FF">
            <w:pPr>
              <w:adjustRightInd w:val="0"/>
              <w:snapToGrid w:val="0"/>
              <w:spacing w:line="400" w:lineRule="atLeast"/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二、高血壓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降血壓藥物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)</w:t>
            </w:r>
          </w:p>
        </w:tc>
        <w:tc>
          <w:tcPr>
            <w:tcW w:w="7116" w:type="dxa"/>
            <w:shd w:val="clear" w:color="auto" w:fill="auto"/>
          </w:tcPr>
          <w:p w14:paraId="05D09847" w14:textId="77777777" w:rsidR="00F74ED5" w:rsidRPr="002A31CA" w:rsidRDefault="00F74ED5" w:rsidP="00FC31FA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細明體" w:eastAsia="標楷體" w:hAnsi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且記載於病歷。</w:t>
            </w:r>
          </w:p>
          <w:p w14:paraId="2E6E9364" w14:textId="77777777" w:rsidR="00F74ED5" w:rsidRPr="002A31CA" w:rsidRDefault="00F74ED5" w:rsidP="00FC31FA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lastRenderedPageBreak/>
              <w:t>告知病人使用藥物帶來的影響及相關風險。</w:t>
            </w:r>
          </w:p>
          <w:p w14:paraId="631934A0" w14:textId="77777777" w:rsidR="00F74ED5" w:rsidRPr="002A31CA" w:rsidRDefault="00F74ED5" w:rsidP="00FC31FA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病人三個月之內的血壓病歷評估及追蹤。</w:t>
            </w:r>
          </w:p>
          <w:p w14:paraId="5904BB09" w14:textId="77777777" w:rsidR="00F74ED5" w:rsidRPr="002A31CA" w:rsidRDefault="00F74ED5" w:rsidP="00FC31FA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病人牙科治療前三</w:t>
            </w:r>
            <w:proofErr w:type="gramStart"/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個</w:t>
            </w:r>
            <w:proofErr w:type="gramEnd"/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月之用藥，</w:t>
            </w:r>
            <w:proofErr w:type="gramStart"/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含心血管</w:t>
            </w:r>
            <w:proofErr w:type="gramEnd"/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用藥、抗凝血劑用藥及全身狀況追蹤及評估。</w:t>
            </w:r>
          </w:p>
          <w:p w14:paraId="25882B1A" w14:textId="77777777" w:rsidR="00F74ED5" w:rsidRPr="00F74ED5" w:rsidRDefault="00F74ED5" w:rsidP="00FC31FA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病人牙科治</w:t>
            </w:r>
            <w:r w:rsidRPr="00F74ED5">
              <w:rPr>
                <w:rFonts w:ascii="Times New Roman" w:eastAsia="標楷體" w:hAnsi="Times New Roman"/>
                <w:kern w:val="0"/>
                <w:sz w:val="28"/>
                <w:szCs w:val="28"/>
              </w:rPr>
              <w:t>療當天高血壓藥物服藥狀況了解及詢問。</w:t>
            </w:r>
          </w:p>
          <w:p w14:paraId="73EA4E52" w14:textId="77777777" w:rsidR="00F74ED5" w:rsidRPr="00F74ED5" w:rsidRDefault="00F74ED5" w:rsidP="00FC31FA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細明體" w:hAnsi="Times New Roman"/>
                <w:kern w:val="0"/>
                <w:sz w:val="28"/>
                <w:szCs w:val="28"/>
              </w:rPr>
            </w:pPr>
            <w:r w:rsidRPr="00F74ED5">
              <w:rPr>
                <w:rFonts w:ascii="Times New Roman" w:eastAsia="標楷體" w:hAnsi="Times New Roman"/>
                <w:kern w:val="0"/>
                <w:sz w:val="28"/>
                <w:szCs w:val="28"/>
              </w:rPr>
              <w:t>術後流血狀況監控。</w:t>
            </w:r>
          </w:p>
          <w:p w14:paraId="7ECBA3BC" w14:textId="77777777" w:rsidR="00F74ED5" w:rsidRPr="00FC31FA" w:rsidRDefault="00F74ED5" w:rsidP="00FC31FA">
            <w:pPr>
              <w:numPr>
                <w:ilvl w:val="0"/>
                <w:numId w:val="15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細明體" w:hAnsi="Times New Roman"/>
                <w:kern w:val="0"/>
                <w:sz w:val="28"/>
                <w:szCs w:val="28"/>
              </w:rPr>
            </w:pPr>
            <w:r w:rsidRPr="00FC31FA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FC31FA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治療前宜照會</w:t>
            </w:r>
            <w:proofErr w:type="gramEnd"/>
            <w:r w:rsidRPr="00FC31FA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或轉診至其他相關單位做進一步診治。</w:t>
            </w:r>
          </w:p>
        </w:tc>
      </w:tr>
    </w:tbl>
    <w:p w14:paraId="17193FC9" w14:textId="77777777" w:rsidR="00F74ED5" w:rsidRPr="002A31CA" w:rsidRDefault="00F74ED5" w:rsidP="00F74ED5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/>
          <w:b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b/>
          <w:kern w:val="0"/>
          <w:sz w:val="28"/>
          <w:szCs w:val="28"/>
        </w:rPr>
        <w:t>【背景說明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參考事項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/>
          <w:b/>
          <w:kern w:val="0"/>
          <w:sz w:val="28"/>
          <w:szCs w:val="28"/>
        </w:rPr>
        <w:t>】</w:t>
      </w:r>
    </w:p>
    <w:p w14:paraId="3EB0BF76" w14:textId="77777777" w:rsidR="00F74ED5" w:rsidRPr="002A31CA" w:rsidRDefault="00F74ED5" w:rsidP="00F74ED5">
      <w:pPr>
        <w:numPr>
          <w:ilvl w:val="3"/>
          <w:numId w:val="20"/>
        </w:numPr>
        <w:autoSpaceDE w:val="0"/>
        <w:autoSpaceDN w:val="0"/>
        <w:adjustRightInd w:val="0"/>
        <w:snapToGrid w:val="0"/>
        <w:spacing w:line="240" w:lineRule="atLeast"/>
        <w:ind w:leftChars="-118" w:left="1" w:rightChars="-236" w:right="-566" w:hanging="284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若病人服用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3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種</w:t>
      </w:r>
      <w:proofErr w:type="gramStart"/>
      <w:r w:rsidRPr="002A31CA">
        <w:rPr>
          <w:rFonts w:ascii="Times New Roman" w:eastAsia="標楷體" w:hAnsi="Times New Roman"/>
          <w:kern w:val="0"/>
          <w:sz w:val="28"/>
          <w:szCs w:val="28"/>
        </w:rPr>
        <w:t>以上降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血壓藥物，建議應謹慎評估及術前先量血壓。</w:t>
      </w:r>
    </w:p>
    <w:p w14:paraId="1DADE99C" w14:textId="77777777" w:rsidR="00F74ED5" w:rsidRPr="002A31CA" w:rsidRDefault="00F74ED5" w:rsidP="00F74ED5">
      <w:pPr>
        <w:numPr>
          <w:ilvl w:val="3"/>
          <w:numId w:val="20"/>
        </w:numPr>
        <w:autoSpaceDE w:val="0"/>
        <w:autoSpaceDN w:val="0"/>
        <w:adjustRightInd w:val="0"/>
        <w:snapToGrid w:val="0"/>
        <w:spacing w:line="240" w:lineRule="atLeast"/>
        <w:ind w:leftChars="-118" w:left="1" w:rightChars="-236" w:right="-566" w:hanging="284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治療前</w:t>
      </w:r>
      <w:r w:rsidRPr="007F6DD9">
        <w:rPr>
          <w:rFonts w:ascii="Times New Roman" w:eastAsia="標楷體" w:hAnsi="Times New Roman"/>
          <w:kern w:val="0"/>
          <w:sz w:val="28"/>
          <w:szCs w:val="28"/>
          <w:shd w:val="clear" w:color="auto" w:fill="FFFFFF"/>
        </w:rPr>
        <w:t>血壓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應於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150mmHg</w:t>
      </w:r>
      <w:proofErr w:type="gramStart"/>
      <w:r w:rsidRPr="002A31CA">
        <w:rPr>
          <w:rFonts w:ascii="Times New Roman" w:eastAsia="標楷體" w:hAnsi="Times New Roman"/>
          <w:kern w:val="0"/>
          <w:sz w:val="28"/>
          <w:szCs w:val="28"/>
        </w:rPr>
        <w:t>以內，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若高於此數值會有風險產生。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參考資訊：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≥140/90</w:t>
      </w:r>
      <w:r w:rsidRPr="002A31CA">
        <w:rPr>
          <w:rFonts w:ascii="Times New Roman" w:eastAsia="標楷體" w:hAnsi="Times New Roman" w:hint="eastAsia"/>
          <w:kern w:val="0"/>
          <w:sz w:val="28"/>
          <w:szCs w:val="28"/>
        </w:rPr>
        <w:t>mmHg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 xml:space="preserve"> 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但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 xml:space="preserve"> &lt;160/100mmHg)</w:t>
      </w:r>
    </w:p>
    <w:p w14:paraId="33E7D40C" w14:textId="77777777" w:rsidR="00F74ED5" w:rsidRPr="002A31CA" w:rsidRDefault="00F74ED5" w:rsidP="00F74ED5">
      <w:pPr>
        <w:numPr>
          <w:ilvl w:val="3"/>
          <w:numId w:val="20"/>
        </w:numPr>
        <w:autoSpaceDE w:val="0"/>
        <w:autoSpaceDN w:val="0"/>
        <w:adjustRightInd w:val="0"/>
        <w:snapToGrid w:val="0"/>
        <w:spacing w:line="240" w:lineRule="atLeast"/>
        <w:ind w:leftChars="-118" w:left="1" w:rightChars="-236" w:right="-566" w:hanging="284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病人血壓若不容易控制，可考慮使用抗焦慮藥物或以鎮靜配合治療，但醫師須受過相關訓練才可以使用。</w:t>
      </w:r>
    </w:p>
    <w:p w14:paraId="5FBEAA0C" w14:textId="77777777" w:rsidR="00F74ED5" w:rsidRPr="002A31CA" w:rsidRDefault="00F74ED5" w:rsidP="00F74ED5">
      <w:pPr>
        <w:numPr>
          <w:ilvl w:val="3"/>
          <w:numId w:val="20"/>
        </w:numPr>
        <w:autoSpaceDE w:val="0"/>
        <w:autoSpaceDN w:val="0"/>
        <w:adjustRightInd w:val="0"/>
        <w:snapToGrid w:val="0"/>
        <w:spacing w:afterLines="50" w:after="180" w:line="240" w:lineRule="atLeast"/>
        <w:ind w:leftChars="-118" w:left="1" w:rightChars="-236" w:right="-566" w:hanging="284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血壓高於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180/110mmHg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不建議做治療。</w:t>
      </w:r>
    </w:p>
    <w:tbl>
      <w:tblPr>
        <w:tblW w:w="10351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118"/>
      </w:tblGrid>
      <w:tr w:rsidR="00F74ED5" w:rsidRPr="002A31CA" w14:paraId="1C161899" w14:textId="77777777" w:rsidTr="00FC31FA">
        <w:tc>
          <w:tcPr>
            <w:tcW w:w="1390" w:type="dxa"/>
            <w:shd w:val="clear" w:color="auto" w:fill="auto"/>
          </w:tcPr>
          <w:p w14:paraId="308E7876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ind w:rightChars="-45" w:right="-108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14:paraId="64B00222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118" w:type="dxa"/>
            <w:shd w:val="clear" w:color="auto" w:fill="auto"/>
          </w:tcPr>
          <w:p w14:paraId="4F4EC631" w14:textId="77777777" w:rsidR="00F74ED5" w:rsidRPr="002A31CA" w:rsidRDefault="00F74ED5" w:rsidP="0028753B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F74ED5" w:rsidRPr="002A31CA" w14:paraId="780C1311" w14:textId="77777777" w:rsidTr="00FC31FA">
        <w:tc>
          <w:tcPr>
            <w:tcW w:w="1390" w:type="dxa"/>
            <w:shd w:val="clear" w:color="auto" w:fill="auto"/>
          </w:tcPr>
          <w:p w14:paraId="16BA7469" w14:textId="77777777" w:rsidR="00F74ED5" w:rsidRPr="002A31CA" w:rsidRDefault="00F74ED5" w:rsidP="00FE21FF">
            <w:pPr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0A1096EC" w14:textId="77777777" w:rsidR="00F74ED5" w:rsidRPr="002A31CA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  <w:t>三、骨質疏鬆</w:t>
            </w:r>
            <w:r w:rsidRPr="002A31CA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症</w:t>
            </w:r>
            <w:r w:rsidRPr="002A31CA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抗骨質疏鬆藥物</w:t>
            </w:r>
            <w:r w:rsidRPr="002A31CA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)</w:t>
            </w:r>
          </w:p>
        </w:tc>
        <w:tc>
          <w:tcPr>
            <w:tcW w:w="7118" w:type="dxa"/>
            <w:shd w:val="clear" w:color="auto" w:fill="auto"/>
          </w:tcPr>
          <w:p w14:paraId="397A86BE" w14:textId="77777777" w:rsidR="00F74ED5" w:rsidRPr="002A31CA" w:rsidRDefault="00F74ED5" w:rsidP="00FC31FA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細明體" w:eastAsia="標楷體" w:hAnsi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且記載於病歷。</w:t>
            </w:r>
          </w:p>
          <w:p w14:paraId="2C900AE8" w14:textId="77777777" w:rsidR="00F74ED5" w:rsidRPr="002A31CA" w:rsidRDefault="00F74ED5" w:rsidP="00FC31FA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告知病人使用抗骨質吸收藥物可能帶來的影響及相關風險。</w:t>
            </w:r>
          </w:p>
          <w:p w14:paraId="2CFF1EA1" w14:textId="77777777" w:rsidR="00F74ED5" w:rsidRPr="002A31CA" w:rsidRDefault="00F74ED5" w:rsidP="00FC31FA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遵循開藥醫師對於病人牙科就診的注意事項與醫囑，必要時得使用諮詢單，如單株抗體類用藥針劑</w:t>
            </w:r>
            <w:r w:rsidRPr="002A31CA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三個月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內不建議做牙科侵入性治療。</w:t>
            </w:r>
          </w:p>
          <w:p w14:paraId="5246D0BE" w14:textId="77777777" w:rsidR="00F74ED5" w:rsidRPr="002A31CA" w:rsidRDefault="00F74ED5" w:rsidP="00FC31FA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雙磷酸鹽類用藥</w:t>
            </w:r>
            <w:r w:rsidRPr="002A31CA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三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個月內要做牙科侵入性處置，應多方謹慎評估。</w:t>
            </w:r>
          </w:p>
          <w:p w14:paraId="01C2E317" w14:textId="77777777" w:rsidR="00F74ED5" w:rsidRDefault="00F74ED5" w:rsidP="00FC31FA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術後流血狀況監測。</w:t>
            </w:r>
          </w:p>
          <w:p w14:paraId="2C8EA992" w14:textId="77777777" w:rsidR="00F74ED5" w:rsidRPr="00FC31FA" w:rsidRDefault="00F74ED5" w:rsidP="00FC31FA">
            <w:pPr>
              <w:numPr>
                <w:ilvl w:val="0"/>
                <w:numId w:val="22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bCs/>
                <w:kern w:val="0"/>
                <w:sz w:val="28"/>
                <w:szCs w:val="28"/>
              </w:rPr>
            </w:pPr>
            <w:r w:rsidRPr="00FC31FA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FC31FA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治療前宜照會</w:t>
            </w:r>
            <w:proofErr w:type="gramEnd"/>
            <w:r w:rsidRPr="00FC31FA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或轉診至其他相關單位做進一步診治。</w:t>
            </w:r>
          </w:p>
        </w:tc>
      </w:tr>
    </w:tbl>
    <w:p w14:paraId="02445988" w14:textId="77777777" w:rsidR="00F74ED5" w:rsidRPr="002A31CA" w:rsidRDefault="00F74ED5" w:rsidP="00F74ED5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/>
          <w:b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b/>
          <w:kern w:val="0"/>
          <w:sz w:val="28"/>
          <w:szCs w:val="28"/>
        </w:rPr>
        <w:t>【背景說明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參考事項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/>
          <w:b/>
          <w:kern w:val="0"/>
          <w:sz w:val="28"/>
          <w:szCs w:val="28"/>
        </w:rPr>
        <w:t>】</w:t>
      </w:r>
    </w:p>
    <w:p w14:paraId="132B6EAE" w14:textId="77777777" w:rsidR="00F74ED5" w:rsidRPr="002A31CA" w:rsidRDefault="00F74ED5" w:rsidP="00F74ED5">
      <w:pPr>
        <w:numPr>
          <w:ilvl w:val="0"/>
          <w:numId w:val="23"/>
        </w:numPr>
        <w:autoSpaceDE w:val="0"/>
        <w:autoSpaceDN w:val="0"/>
        <w:adjustRightInd w:val="0"/>
        <w:snapToGrid w:val="0"/>
        <w:spacing w:line="240" w:lineRule="atLeast"/>
        <w:ind w:left="284" w:rightChars="-236" w:right="-566" w:hanging="42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  <w:shd w:val="clear" w:color="auto" w:fill="FFFF00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病人使用的抗骨質疏鬆藥劑，早期為雙磷酸鹽藥物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hint="eastAsia"/>
          <w:kern w:val="0"/>
          <w:sz w:val="28"/>
          <w:szCs w:val="28"/>
        </w:rPr>
        <w:t>B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isphosphonate)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，近期則是使用單株抗體類之</w:t>
      </w:r>
      <w:r w:rsidRPr="002A31CA">
        <w:rPr>
          <w:rFonts w:ascii="Times New Roman" w:eastAsia="標楷體" w:hAnsi="Times New Roman" w:hint="eastAsia"/>
          <w:kern w:val="0"/>
          <w:sz w:val="28"/>
          <w:szCs w:val="28"/>
        </w:rPr>
        <w:t>D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enosumab(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如保</w:t>
      </w:r>
      <w:proofErr w:type="gramStart"/>
      <w:r w:rsidRPr="002A31CA">
        <w:rPr>
          <w:rFonts w:ascii="Times New Roman" w:eastAsia="標楷體" w:hAnsi="Times New Roman"/>
          <w:kern w:val="0"/>
          <w:sz w:val="28"/>
          <w:szCs w:val="28"/>
        </w:rPr>
        <w:t>骼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麗，</w:t>
      </w:r>
      <w:r w:rsidRPr="002A31CA">
        <w:rPr>
          <w:rFonts w:ascii="Times New Roman" w:eastAsia="標楷體" w:hAnsi="Times New Roman" w:hint="eastAsia"/>
          <w:kern w:val="0"/>
          <w:sz w:val="28"/>
          <w:szCs w:val="28"/>
        </w:rPr>
        <w:t>P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rolia)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等。目前實務上使用</w:t>
      </w:r>
      <w:r w:rsidRPr="002A31CA">
        <w:rPr>
          <w:rFonts w:ascii="Times New Roman" w:eastAsia="標楷體" w:hAnsi="Times New Roman" w:hint="eastAsia"/>
          <w:kern w:val="0"/>
          <w:sz w:val="28"/>
          <w:szCs w:val="28"/>
        </w:rPr>
        <w:t>D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enosumab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的病人，大約是滿五個月的時候，告知病人可能之風險及獲得病人同意後，可以進行手術，同時傷口必須縫合。手術完成一個月左右，若傷口癒合良好，沒有新的骨頭暴露</w:t>
      </w:r>
      <w:proofErr w:type="gramStart"/>
      <w:r w:rsidRPr="002A31CA">
        <w:rPr>
          <w:rFonts w:ascii="Times New Roman" w:eastAsia="標楷體" w:hAnsi="Times New Roman"/>
          <w:kern w:val="0"/>
          <w:sz w:val="28"/>
          <w:szCs w:val="28"/>
        </w:rPr>
        <w:t>出來或骨壞死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的情形，可以接著施打下一次的劑量。</w:t>
      </w:r>
    </w:p>
    <w:p w14:paraId="0441CC81" w14:textId="77777777" w:rsidR="00F74ED5" w:rsidRPr="002A31CA" w:rsidRDefault="00F74ED5" w:rsidP="00F74ED5">
      <w:pPr>
        <w:numPr>
          <w:ilvl w:val="0"/>
          <w:numId w:val="23"/>
        </w:numPr>
        <w:autoSpaceDE w:val="0"/>
        <w:autoSpaceDN w:val="0"/>
        <w:adjustRightInd w:val="0"/>
        <w:snapToGrid w:val="0"/>
        <w:spacing w:line="240" w:lineRule="atLeast"/>
        <w:ind w:left="284" w:rightChars="-236" w:right="-566" w:hanging="42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另最近研究，半年之後超過三個月才施打</w:t>
      </w:r>
      <w:r w:rsidRPr="002A31CA">
        <w:rPr>
          <w:rFonts w:ascii="Times New Roman" w:eastAsia="標楷體" w:hAnsi="Times New Roman" w:hint="eastAsia"/>
          <w:kern w:val="0"/>
          <w:sz w:val="28"/>
          <w:szCs w:val="28"/>
        </w:rPr>
        <w:t>D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enosumab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，藥物原來的效果就會急速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lastRenderedPageBreak/>
        <w:t>下降。</w:t>
      </w:r>
    </w:p>
    <w:p w14:paraId="6B4F1952" w14:textId="77777777" w:rsidR="00F74ED5" w:rsidRPr="002A31CA" w:rsidRDefault="00F74ED5" w:rsidP="00F74ED5">
      <w:pPr>
        <w:numPr>
          <w:ilvl w:val="0"/>
          <w:numId w:val="23"/>
        </w:numPr>
        <w:autoSpaceDE w:val="0"/>
        <w:autoSpaceDN w:val="0"/>
        <w:adjustRightInd w:val="0"/>
        <w:snapToGrid w:val="0"/>
        <w:spacing w:line="240" w:lineRule="atLeast"/>
        <w:ind w:left="284" w:rightChars="-236" w:right="-566" w:hanging="42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若是病人剛使用藥物，有緊急狀況需進行手術處置時，需告知病人相關風險，並獲得病人之同意。</w:t>
      </w:r>
    </w:p>
    <w:p w14:paraId="548B624A" w14:textId="77777777" w:rsidR="00F74ED5" w:rsidRPr="002A31CA" w:rsidRDefault="00F74ED5" w:rsidP="00F74ED5">
      <w:pPr>
        <w:numPr>
          <w:ilvl w:val="0"/>
          <w:numId w:val="23"/>
        </w:numPr>
        <w:autoSpaceDE w:val="0"/>
        <w:autoSpaceDN w:val="0"/>
        <w:adjustRightInd w:val="0"/>
        <w:snapToGrid w:val="0"/>
        <w:spacing w:line="240" w:lineRule="atLeast"/>
        <w:ind w:left="284" w:rightChars="-236" w:right="-566" w:hanging="42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進行手術後，建議需完全縫合傷口的原因是基於了解病人骨壞死的原理。避免骨暴露，使骨骼能獲得良好的血液供應，是預防新顎骨壞死的重要因素。</w:t>
      </w:r>
    </w:p>
    <w:p w14:paraId="02468255" w14:textId="77777777" w:rsidR="00F74ED5" w:rsidRPr="002A31CA" w:rsidRDefault="00F74ED5" w:rsidP="00F74ED5">
      <w:pPr>
        <w:numPr>
          <w:ilvl w:val="0"/>
          <w:numId w:val="23"/>
        </w:numPr>
        <w:autoSpaceDE w:val="0"/>
        <w:autoSpaceDN w:val="0"/>
        <w:adjustRightInd w:val="0"/>
        <w:snapToGrid w:val="0"/>
        <w:spacing w:line="240" w:lineRule="atLeast"/>
        <w:ind w:left="284" w:rightChars="-236" w:right="-566" w:hanging="42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由於雙磷酸鹽藥物是直接存在於顎骨內，甚至從壞死骨脫落後，會再結合到鄰近的骨骼內，繼續</w:t>
      </w:r>
      <w:proofErr w:type="gramStart"/>
      <w:r w:rsidRPr="002A31CA">
        <w:rPr>
          <w:rFonts w:ascii="Times New Roman" w:eastAsia="標楷體" w:hAnsi="Times New Roman"/>
          <w:kern w:val="0"/>
          <w:sz w:val="28"/>
          <w:szCs w:val="28"/>
        </w:rPr>
        <w:t>抑制破骨細胞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，與單株抗體類藥物留存在血液中，且有一定之半衰期不同，因此，使用雙磷酸鹽藥物者接受牙科手術時，相對風險可能比單株抗體類藥物高。但無論如何，如果仍需要進行牙科手術時，最重要的是告知病人接受牙科手術時，仍可能有產生顎骨壞死的風險。</w:t>
      </w:r>
    </w:p>
    <w:p w14:paraId="6602BB5D" w14:textId="77777777" w:rsidR="00F74ED5" w:rsidRPr="002A31CA" w:rsidRDefault="00F74ED5" w:rsidP="0027419D">
      <w:pPr>
        <w:numPr>
          <w:ilvl w:val="0"/>
          <w:numId w:val="23"/>
        </w:numPr>
        <w:autoSpaceDE w:val="0"/>
        <w:autoSpaceDN w:val="0"/>
        <w:adjustRightInd w:val="0"/>
        <w:snapToGrid w:val="0"/>
        <w:spacing w:afterLines="50" w:after="180" w:line="240" w:lineRule="atLeast"/>
        <w:ind w:left="283" w:rightChars="-236" w:right="-566" w:hanging="425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病人使用雙磷酸鹽藥用如果有合併其他多重藥物，應更審慎評估。</w:t>
      </w:r>
    </w:p>
    <w:tbl>
      <w:tblPr>
        <w:tblW w:w="10351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118"/>
      </w:tblGrid>
      <w:tr w:rsidR="00F74ED5" w:rsidRPr="002A31CA" w14:paraId="1AFBF530" w14:textId="77777777" w:rsidTr="00FC31FA">
        <w:trPr>
          <w:tblHeader/>
        </w:trPr>
        <w:tc>
          <w:tcPr>
            <w:tcW w:w="1390" w:type="dxa"/>
            <w:shd w:val="clear" w:color="auto" w:fill="auto"/>
          </w:tcPr>
          <w:p w14:paraId="11DAB961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ind w:rightChars="-45" w:right="-108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14:paraId="0F067983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118" w:type="dxa"/>
            <w:shd w:val="clear" w:color="auto" w:fill="auto"/>
          </w:tcPr>
          <w:p w14:paraId="06703DB5" w14:textId="77777777" w:rsidR="00F74ED5" w:rsidRPr="002A31CA" w:rsidRDefault="00F74ED5" w:rsidP="0028753B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F74ED5" w:rsidRPr="002A31CA" w14:paraId="66BCCC88" w14:textId="77777777" w:rsidTr="00FC31FA">
        <w:tc>
          <w:tcPr>
            <w:tcW w:w="1390" w:type="dxa"/>
            <w:shd w:val="clear" w:color="auto" w:fill="auto"/>
          </w:tcPr>
          <w:p w14:paraId="4EFA0143" w14:textId="77777777" w:rsidR="00F74ED5" w:rsidRPr="002A31CA" w:rsidRDefault="00F74ED5" w:rsidP="00FE21FF">
            <w:pPr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680F4479" w14:textId="77777777" w:rsidR="00F74ED5" w:rsidRPr="002A31CA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  <w:t>四、心血管疾病</w:t>
            </w:r>
            <w:r w:rsidRPr="002A31CA"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  <w:t>藥物</w:t>
            </w:r>
            <w:r w:rsidRPr="002A31CA"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  <w:t>)</w:t>
            </w:r>
          </w:p>
        </w:tc>
        <w:tc>
          <w:tcPr>
            <w:tcW w:w="7118" w:type="dxa"/>
            <w:shd w:val="clear" w:color="auto" w:fill="auto"/>
          </w:tcPr>
          <w:p w14:paraId="2CC2CDB2" w14:textId="77777777" w:rsidR="00F74ED5" w:rsidRPr="002A31CA" w:rsidRDefault="00F74ED5" w:rsidP="00FC31FA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45" w:rightChars="104" w:right="250" w:hanging="445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細明體" w:eastAsia="標楷體" w:hAnsi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且記載於病歷。</w:t>
            </w:r>
          </w:p>
          <w:p w14:paraId="4859E32E" w14:textId="77777777" w:rsidR="00F74ED5" w:rsidRPr="002A31CA" w:rsidRDefault="00F74ED5" w:rsidP="00FC31FA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45" w:rightChars="104" w:right="250" w:hanging="445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14:paraId="3B6D3A6C" w14:textId="77777777" w:rsidR="00F74ED5" w:rsidRPr="002A31CA" w:rsidRDefault="00F74ED5" w:rsidP="00FC31FA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45" w:rightChars="104" w:right="250" w:hanging="445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服用抗凝血劑之一般病人：做監控。</w:t>
            </w:r>
          </w:p>
          <w:p w14:paraId="68670B7C" w14:textId="77777777" w:rsidR="00F74ED5" w:rsidRDefault="00F74ED5" w:rsidP="00FC31FA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45" w:rightChars="104" w:right="250" w:hanging="445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服用抗凝血劑之特殊病人：有栓塞、做支架者，徵詢內科醫師建議，必要時得使用諮詢單。</w:t>
            </w:r>
          </w:p>
          <w:p w14:paraId="54309479" w14:textId="77777777" w:rsidR="00F74ED5" w:rsidRPr="00FC31FA" w:rsidRDefault="00F74ED5" w:rsidP="00FC31FA">
            <w:pPr>
              <w:numPr>
                <w:ilvl w:val="0"/>
                <w:numId w:val="2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45" w:rightChars="104" w:right="250" w:hanging="445"/>
              <w:jc w:val="both"/>
              <w:textAlignment w:val="bottom"/>
              <w:rPr>
                <w:rFonts w:ascii="Times New Roman" w:eastAsia="標楷體" w:hAnsi="Times New Roman"/>
                <w:bCs/>
                <w:kern w:val="0"/>
                <w:sz w:val="28"/>
                <w:szCs w:val="28"/>
              </w:rPr>
            </w:pPr>
            <w:r w:rsidRPr="00FC31FA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FC31FA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治療前宜照會</w:t>
            </w:r>
            <w:proofErr w:type="gramEnd"/>
            <w:r w:rsidRPr="00FC31FA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或轉診至其他相關單位做進一步診治。</w:t>
            </w:r>
          </w:p>
        </w:tc>
      </w:tr>
    </w:tbl>
    <w:p w14:paraId="73FF70CB" w14:textId="77777777" w:rsidR="00F74ED5" w:rsidRPr="002A31CA" w:rsidRDefault="00F74ED5" w:rsidP="00F74ED5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/>
          <w:b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b/>
          <w:kern w:val="0"/>
          <w:sz w:val="28"/>
          <w:szCs w:val="28"/>
        </w:rPr>
        <w:t>【背景說明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參考事項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/>
          <w:b/>
          <w:kern w:val="0"/>
          <w:sz w:val="28"/>
          <w:szCs w:val="28"/>
        </w:rPr>
        <w:t>】</w:t>
      </w:r>
    </w:p>
    <w:p w14:paraId="29971176" w14:textId="77777777" w:rsidR="00F74ED5" w:rsidRPr="002A31CA" w:rsidRDefault="00F74ED5" w:rsidP="00F74ED5">
      <w:pPr>
        <w:numPr>
          <w:ilvl w:val="0"/>
          <w:numId w:val="25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hanging="284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抗凝血劑目前有三個大的類型：</w:t>
      </w:r>
    </w:p>
    <w:p w14:paraId="23859D22" w14:textId="77777777" w:rsidR="00F74ED5" w:rsidRPr="002A31CA" w:rsidRDefault="00F74ED5" w:rsidP="00F74ED5">
      <w:pPr>
        <w:numPr>
          <w:ilvl w:val="0"/>
          <w:numId w:val="21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firstLine="0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與血小板有關：如阿斯匹靈、保</w:t>
      </w:r>
      <w:proofErr w:type="gramStart"/>
      <w:r w:rsidRPr="002A31CA">
        <w:rPr>
          <w:rFonts w:ascii="Times New Roman" w:eastAsia="標楷體" w:hAnsi="Times New Roman"/>
          <w:kern w:val="0"/>
          <w:sz w:val="28"/>
          <w:szCs w:val="28"/>
        </w:rPr>
        <w:t>栓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通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(Plavix)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或其他藥物等。</w:t>
      </w:r>
    </w:p>
    <w:p w14:paraId="57E9DCD8" w14:textId="77777777" w:rsidR="00F74ED5" w:rsidRPr="002A31CA" w:rsidRDefault="00F74ED5" w:rsidP="00F74ED5">
      <w:pPr>
        <w:numPr>
          <w:ilvl w:val="0"/>
          <w:numId w:val="21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firstLine="0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預防心房顫動可能造成血栓的</w:t>
      </w:r>
      <w:r w:rsidRPr="002A31CA">
        <w:rPr>
          <w:rFonts w:ascii="Times New Roman" w:eastAsia="標楷體" w:hAnsi="Times New Roman" w:hint="eastAsia"/>
          <w:kern w:val="0"/>
          <w:sz w:val="28"/>
          <w:szCs w:val="28"/>
        </w:rPr>
        <w:t>C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oumadin(</w:t>
      </w:r>
      <w:proofErr w:type="spellStart"/>
      <w:r w:rsidRPr="002A31CA">
        <w:rPr>
          <w:rFonts w:ascii="Times New Roman" w:eastAsia="標楷體" w:hAnsi="Times New Roman" w:hint="eastAsia"/>
          <w:kern w:val="0"/>
          <w:sz w:val="28"/>
          <w:szCs w:val="28"/>
        </w:rPr>
        <w:t>W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afarin</w:t>
      </w:r>
      <w:proofErr w:type="spellEnd"/>
      <w:r w:rsidRPr="002A31CA">
        <w:rPr>
          <w:rFonts w:ascii="Times New Roman" w:eastAsia="標楷體" w:hAnsi="Times New Roman"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等。</w:t>
      </w:r>
    </w:p>
    <w:p w14:paraId="41CA2CDA" w14:textId="77777777" w:rsidR="00F74ED5" w:rsidRPr="002A31CA" w:rsidRDefault="00F74ED5" w:rsidP="00F74ED5">
      <w:pPr>
        <w:numPr>
          <w:ilvl w:val="0"/>
          <w:numId w:val="21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firstLine="0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針對第十凝血因子及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thrombin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的新型抗凝血藥物。</w:t>
      </w:r>
    </w:p>
    <w:p w14:paraId="04276DA2" w14:textId="77777777" w:rsidR="00F74ED5" w:rsidRPr="002A31CA" w:rsidRDefault="00F74ED5" w:rsidP="00F74ED5">
      <w:pPr>
        <w:numPr>
          <w:ilvl w:val="0"/>
          <w:numId w:val="25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hanging="284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如果是不複雜且時間小於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45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分鐘的手術這類藥物建議可不停藥，但沒有把握，可詢問原開藥醫師。</w:t>
      </w:r>
    </w:p>
    <w:p w14:paraId="77A5896F" w14:textId="77777777" w:rsidR="00F74ED5" w:rsidRPr="002A31CA" w:rsidRDefault="00F74ED5" w:rsidP="00F74ED5">
      <w:pPr>
        <w:numPr>
          <w:ilvl w:val="0"/>
          <w:numId w:val="25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hanging="284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醫院通常會做血液</w:t>
      </w:r>
      <w:r w:rsidRPr="002A31CA">
        <w:rPr>
          <w:rFonts w:ascii="Times New Roman" w:eastAsia="標楷體" w:hAnsi="Times New Roman" w:hint="eastAsia"/>
          <w:kern w:val="0"/>
          <w:sz w:val="28"/>
          <w:szCs w:val="28"/>
        </w:rPr>
        <w:t>凝固狀態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監控，若真的太高，會將治療延後。</w:t>
      </w:r>
    </w:p>
    <w:p w14:paraId="24966043" w14:textId="77777777" w:rsidR="00F74ED5" w:rsidRPr="002A31CA" w:rsidRDefault="00F74ED5" w:rsidP="00F74ED5">
      <w:pPr>
        <w:numPr>
          <w:ilvl w:val="0"/>
          <w:numId w:val="25"/>
        </w:numPr>
        <w:autoSpaceDE w:val="0"/>
        <w:autoSpaceDN w:val="0"/>
        <w:adjustRightInd w:val="0"/>
        <w:snapToGrid w:val="0"/>
        <w:spacing w:line="240" w:lineRule="atLeast"/>
        <w:ind w:left="142" w:rightChars="-236" w:right="-566" w:hanging="284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若病人有進行心臟外科手術，建議至原醫院進行相關牙科治療。</w:t>
      </w:r>
    </w:p>
    <w:p w14:paraId="37F7A469" w14:textId="77777777" w:rsidR="00F74ED5" w:rsidRPr="002A31CA" w:rsidRDefault="00F74ED5" w:rsidP="00F74ED5">
      <w:pPr>
        <w:numPr>
          <w:ilvl w:val="0"/>
          <w:numId w:val="25"/>
        </w:numPr>
        <w:autoSpaceDE w:val="0"/>
        <w:autoSpaceDN w:val="0"/>
        <w:adjustRightInd w:val="0"/>
        <w:snapToGrid w:val="0"/>
        <w:spacing w:afterLines="50" w:after="180" w:line="240" w:lineRule="atLeast"/>
        <w:ind w:left="142" w:rightChars="-236" w:right="-566" w:hanging="284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proofErr w:type="gramStart"/>
      <w:r w:rsidRPr="002A31CA">
        <w:rPr>
          <w:rFonts w:ascii="Times New Roman" w:eastAsia="標楷體" w:hAnsi="Times New Roman"/>
          <w:kern w:val="0"/>
          <w:sz w:val="28"/>
          <w:szCs w:val="28"/>
        </w:rPr>
        <w:t>另抗凝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血藥物服用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2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種以上，是否能減藥或</w:t>
      </w:r>
      <w:proofErr w:type="gramStart"/>
      <w:r w:rsidRPr="002A31CA">
        <w:rPr>
          <w:rFonts w:ascii="Times New Roman" w:eastAsia="標楷體" w:hAnsi="Times New Roman"/>
          <w:kern w:val="0"/>
          <w:sz w:val="28"/>
          <w:szCs w:val="28"/>
        </w:rPr>
        <w:t>停藥應詢問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原開藥醫師。</w:t>
      </w:r>
    </w:p>
    <w:tbl>
      <w:tblPr>
        <w:tblW w:w="10349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116"/>
      </w:tblGrid>
      <w:tr w:rsidR="00F74ED5" w:rsidRPr="002A31CA" w14:paraId="73E545CC" w14:textId="77777777" w:rsidTr="00FC31FA">
        <w:tc>
          <w:tcPr>
            <w:tcW w:w="1390" w:type="dxa"/>
            <w:shd w:val="clear" w:color="auto" w:fill="auto"/>
          </w:tcPr>
          <w:p w14:paraId="326B2138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ind w:rightChars="-45" w:right="-108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14:paraId="52E62959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116" w:type="dxa"/>
            <w:shd w:val="clear" w:color="auto" w:fill="auto"/>
          </w:tcPr>
          <w:p w14:paraId="62CD2A86" w14:textId="77777777" w:rsidR="00F74ED5" w:rsidRPr="002A31CA" w:rsidRDefault="00F74ED5" w:rsidP="0028753B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F74ED5" w:rsidRPr="002A31CA" w14:paraId="7E00AFD6" w14:textId="77777777" w:rsidTr="00FC31FA">
        <w:tc>
          <w:tcPr>
            <w:tcW w:w="1390" w:type="dxa"/>
            <w:shd w:val="clear" w:color="auto" w:fill="auto"/>
          </w:tcPr>
          <w:p w14:paraId="3DB38B43" w14:textId="77777777" w:rsidR="00F74ED5" w:rsidRPr="002A31CA" w:rsidRDefault="00F74ED5" w:rsidP="00FE21FF">
            <w:pPr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2BF24F66" w14:textId="77777777" w:rsidR="00F74ED5" w:rsidRPr="002A31CA" w:rsidRDefault="00F74ED5" w:rsidP="00FE21FF">
            <w:pPr>
              <w:adjustRightInd w:val="0"/>
              <w:snapToGrid w:val="0"/>
              <w:spacing w:line="400" w:lineRule="atLeast"/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五、癌症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抗癌藥物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)</w:t>
            </w:r>
          </w:p>
        </w:tc>
        <w:tc>
          <w:tcPr>
            <w:tcW w:w="7116" w:type="dxa"/>
            <w:shd w:val="clear" w:color="auto" w:fill="auto"/>
          </w:tcPr>
          <w:p w14:paraId="09DCCF87" w14:textId="77777777" w:rsidR="00F74ED5" w:rsidRPr="00FC31FA" w:rsidRDefault="00F74ED5" w:rsidP="00FC31FA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FC31FA">
              <w:rPr>
                <w:rFonts w:ascii="細明體" w:eastAsia="標楷體" w:hAnsi="Times New Roman"/>
                <w:kern w:val="0"/>
                <w:sz w:val="28"/>
                <w:szCs w:val="28"/>
              </w:rPr>
              <w:t>查詢</w:t>
            </w:r>
            <w:r w:rsidRPr="00FC31FA">
              <w:rPr>
                <w:rFonts w:ascii="細明體" w:eastAsia="標楷體" w:hAnsi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FC31FA">
              <w:rPr>
                <w:rFonts w:ascii="細明體" w:eastAsia="標楷體" w:hAnsi="Times New Roman"/>
                <w:kern w:val="0"/>
                <w:sz w:val="28"/>
                <w:szCs w:val="28"/>
              </w:rPr>
              <w:t>並詢問</w:t>
            </w:r>
            <w:r w:rsidRPr="00FC31F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病人用藥</w:t>
            </w:r>
            <w:r w:rsidRPr="00FC31F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FC31F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病史詢問</w:t>
            </w:r>
            <w:r w:rsidRPr="00FC31F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FC31F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且記載於病歷。</w:t>
            </w:r>
          </w:p>
          <w:p w14:paraId="77122EDA" w14:textId="77777777" w:rsidR="00F74ED5" w:rsidRPr="00FC31FA" w:rsidRDefault="00F74ED5" w:rsidP="00FC31FA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FC31F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14:paraId="0F9C65F9" w14:textId="77777777" w:rsidR="00F74ED5" w:rsidRPr="00F74ED5" w:rsidRDefault="00F74ED5" w:rsidP="00FC31FA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7" w:rightChars="104" w:right="250" w:hanging="454"/>
              <w:jc w:val="both"/>
              <w:textAlignment w:val="bottom"/>
              <w:rPr>
                <w:rFonts w:ascii="Times New Roman" w:eastAsia="標楷體" w:hAnsi="Times New Roman"/>
                <w:bCs/>
                <w:kern w:val="0"/>
                <w:sz w:val="28"/>
                <w:szCs w:val="28"/>
              </w:rPr>
            </w:pPr>
            <w:r w:rsidRPr="00FC31FA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FC31FA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治療前宜照會</w:t>
            </w:r>
            <w:proofErr w:type="gramEnd"/>
            <w:r w:rsidRPr="00FC31FA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或轉診至其他相關單位做進一步診治。</w:t>
            </w:r>
          </w:p>
        </w:tc>
      </w:tr>
    </w:tbl>
    <w:p w14:paraId="22813CC9" w14:textId="77777777" w:rsidR="0027419D" w:rsidRDefault="0027419D" w:rsidP="00F74ED5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細明體" w:eastAsia="標楷體" w:hAnsi="Times New Roman"/>
          <w:b/>
          <w:kern w:val="0"/>
          <w:sz w:val="28"/>
          <w:szCs w:val="28"/>
        </w:rPr>
      </w:pPr>
    </w:p>
    <w:p w14:paraId="7B668F49" w14:textId="032AF838" w:rsidR="00F74ED5" w:rsidRPr="002A31CA" w:rsidRDefault="00F74ED5" w:rsidP="00F74ED5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/>
          <w:b/>
          <w:kern w:val="0"/>
          <w:sz w:val="28"/>
          <w:szCs w:val="28"/>
        </w:rPr>
      </w:pPr>
      <w:r w:rsidRPr="002A31CA">
        <w:rPr>
          <w:rFonts w:ascii="細明體" w:eastAsia="標楷體" w:hAnsi="Times New Roman"/>
          <w:b/>
          <w:kern w:val="0"/>
          <w:sz w:val="28"/>
          <w:szCs w:val="28"/>
        </w:rPr>
        <w:lastRenderedPageBreak/>
        <w:t>【背景說明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參考事項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)</w:t>
      </w:r>
      <w:r w:rsidRPr="002A31CA">
        <w:rPr>
          <w:rFonts w:ascii="細明體" w:eastAsia="標楷體" w:hAnsi="Times New Roman"/>
          <w:b/>
          <w:kern w:val="0"/>
          <w:sz w:val="28"/>
          <w:szCs w:val="28"/>
        </w:rPr>
        <w:t>】</w:t>
      </w:r>
    </w:p>
    <w:p w14:paraId="2893EF1D" w14:textId="77777777" w:rsidR="00F74ED5" w:rsidRPr="002A31CA" w:rsidRDefault="00F74ED5" w:rsidP="00702C2C">
      <w:pPr>
        <w:autoSpaceDE w:val="0"/>
        <w:autoSpaceDN w:val="0"/>
        <w:adjustRightInd w:val="0"/>
        <w:snapToGrid w:val="0"/>
        <w:spacing w:line="240" w:lineRule="atLeast"/>
        <w:ind w:leftChars="-60" w:left="142" w:rightChars="-118" w:right="-283" w:hangingChars="102" w:hanging="28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1.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ab/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若癌症仍在治療中，若僅為簡單、緊急的處置，院所應自行評估是否有能力執行。如需進行牙科手術或侵入性、大範圍的治療或牽涉到用藥，建議回原治療醫院的牙科進行諮詢及治療。</w:t>
      </w:r>
    </w:p>
    <w:p w14:paraId="4E48EE4C" w14:textId="77777777" w:rsidR="00F74ED5" w:rsidRPr="002A31CA" w:rsidRDefault="00F74ED5" w:rsidP="00702C2C">
      <w:pPr>
        <w:autoSpaceDE w:val="0"/>
        <w:autoSpaceDN w:val="0"/>
        <w:adjustRightInd w:val="0"/>
        <w:snapToGrid w:val="0"/>
        <w:spacing w:line="240" w:lineRule="atLeast"/>
        <w:ind w:leftChars="-60" w:left="142" w:rightChars="-118" w:right="-283" w:hangingChars="102" w:hanging="28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2.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ab/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癌症療程若已結束，半年後病情沒有太大的變化，可考慮於診所進行牙科治療。</w:t>
      </w:r>
    </w:p>
    <w:p w14:paraId="5EEAAD61" w14:textId="77777777" w:rsidR="00F74ED5" w:rsidRPr="002A31CA" w:rsidRDefault="00F74ED5" w:rsidP="00702C2C">
      <w:pPr>
        <w:autoSpaceDE w:val="0"/>
        <w:autoSpaceDN w:val="0"/>
        <w:adjustRightInd w:val="0"/>
        <w:snapToGrid w:val="0"/>
        <w:spacing w:line="240" w:lineRule="atLeast"/>
        <w:ind w:leftChars="-60" w:left="142" w:rightChars="-118" w:right="-283" w:hangingChars="102" w:hanging="28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3.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ab/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若病人長期服用抗癌藥物，需進行牙科治療時，建議</w:t>
      </w:r>
      <w:proofErr w:type="gramStart"/>
      <w:r w:rsidRPr="002A31CA">
        <w:rPr>
          <w:rFonts w:ascii="Times New Roman" w:eastAsia="標楷體" w:hAnsi="Times New Roman"/>
          <w:kern w:val="0"/>
          <w:sz w:val="28"/>
          <w:szCs w:val="28"/>
        </w:rPr>
        <w:t>轉診回原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治療醫院的牙科進行諮詢及治療，或不要進行太侵入性或太久的牙科治療。</w:t>
      </w:r>
    </w:p>
    <w:p w14:paraId="6C0A3EEC" w14:textId="77777777" w:rsidR="00F74ED5" w:rsidRPr="002A31CA" w:rsidRDefault="00F74ED5" w:rsidP="00702C2C">
      <w:pPr>
        <w:autoSpaceDE w:val="0"/>
        <w:autoSpaceDN w:val="0"/>
        <w:adjustRightInd w:val="0"/>
        <w:snapToGrid w:val="0"/>
        <w:spacing w:line="240" w:lineRule="atLeast"/>
        <w:ind w:leftChars="-60" w:left="142" w:rightChars="-118" w:right="-283" w:hangingChars="102" w:hanging="28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4.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ab/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病人曾接受放射線治療，如口腔癌等，即便是治療完成後數年的追蹤，侵犯性手術如拔牙等的問題，仍可能造成放射線性骨壞死。</w:t>
      </w:r>
    </w:p>
    <w:p w14:paraId="601CD805" w14:textId="77777777" w:rsidR="00F74ED5" w:rsidRPr="002A31CA" w:rsidRDefault="00F74ED5" w:rsidP="00702C2C">
      <w:pPr>
        <w:autoSpaceDE w:val="0"/>
        <w:autoSpaceDN w:val="0"/>
        <w:adjustRightInd w:val="0"/>
        <w:snapToGrid w:val="0"/>
        <w:spacing w:afterLines="50" w:after="180" w:line="240" w:lineRule="atLeast"/>
        <w:ind w:leftChars="-60" w:left="142" w:rightChars="-118" w:right="-283" w:hangingChars="102" w:hanging="28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kern w:val="0"/>
          <w:sz w:val="28"/>
          <w:szCs w:val="28"/>
        </w:rPr>
        <w:t>5.</w:t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ab/>
      </w:r>
      <w:r w:rsidRPr="002A31CA">
        <w:rPr>
          <w:rFonts w:ascii="Times New Roman" w:eastAsia="標楷體" w:hAnsi="Times New Roman"/>
          <w:kern w:val="0"/>
          <w:sz w:val="28"/>
          <w:szCs w:val="28"/>
        </w:rPr>
        <w:t>另外如乳癌、多發性骨髓瘤、攝護腺癌、肺癌等，</w:t>
      </w:r>
      <w:proofErr w:type="gramStart"/>
      <w:r w:rsidRPr="002A31CA">
        <w:rPr>
          <w:rFonts w:ascii="Times New Roman" w:eastAsia="標楷體" w:hAnsi="Times New Roman"/>
          <w:kern w:val="0"/>
          <w:sz w:val="28"/>
          <w:szCs w:val="28"/>
        </w:rPr>
        <w:t>使用抗骨吸收</w:t>
      </w:r>
      <w:proofErr w:type="gramEnd"/>
      <w:r w:rsidRPr="002A31CA">
        <w:rPr>
          <w:rFonts w:ascii="Times New Roman" w:eastAsia="標楷體" w:hAnsi="Times New Roman"/>
          <w:kern w:val="0"/>
          <w:sz w:val="28"/>
          <w:szCs w:val="28"/>
        </w:rPr>
        <w:t>的藥物預防遠端骨轉移時，這與使用預防骨質疏鬆的病人一樣，即便他的癌症相關治療已經結束，進行牙科手術仍可能會造成顎骨壞死。</w:t>
      </w: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6974"/>
      </w:tblGrid>
      <w:tr w:rsidR="00F74ED5" w:rsidRPr="002A31CA" w14:paraId="0FBA31F8" w14:textId="77777777" w:rsidTr="00755819">
        <w:trPr>
          <w:tblHeader/>
        </w:trPr>
        <w:tc>
          <w:tcPr>
            <w:tcW w:w="1390" w:type="dxa"/>
            <w:shd w:val="clear" w:color="auto" w:fill="auto"/>
          </w:tcPr>
          <w:p w14:paraId="4D98346C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ind w:rightChars="-45" w:right="-108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14:paraId="631FEFB2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6974" w:type="dxa"/>
            <w:shd w:val="clear" w:color="auto" w:fill="auto"/>
          </w:tcPr>
          <w:p w14:paraId="5B3B5F0C" w14:textId="77777777" w:rsidR="00F74ED5" w:rsidRPr="002A31CA" w:rsidRDefault="00F74ED5" w:rsidP="0028753B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F74ED5" w:rsidRPr="002A31CA" w14:paraId="6CEA2D06" w14:textId="77777777" w:rsidTr="00755819">
        <w:tc>
          <w:tcPr>
            <w:tcW w:w="1390" w:type="dxa"/>
            <w:shd w:val="clear" w:color="auto" w:fill="auto"/>
          </w:tcPr>
          <w:p w14:paraId="751BAC11" w14:textId="77777777" w:rsidR="00F74ED5" w:rsidRPr="002A31CA" w:rsidRDefault="00F74ED5" w:rsidP="00FE21FF">
            <w:pPr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41A4F220" w14:textId="77777777" w:rsidR="00F74ED5" w:rsidRPr="002A31CA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  <w:t>六、</w:t>
            </w:r>
            <w:r w:rsidRPr="002A31CA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血液透析及腹膜透析</w:t>
            </w:r>
            <w:r w:rsidRPr="002A31CA"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  <w:t>病人</w:t>
            </w:r>
          </w:p>
        </w:tc>
        <w:tc>
          <w:tcPr>
            <w:tcW w:w="6974" w:type="dxa"/>
            <w:shd w:val="clear" w:color="auto" w:fill="auto"/>
          </w:tcPr>
          <w:p w14:paraId="6FE98978" w14:textId="77777777" w:rsidR="00F74ED5" w:rsidRPr="002A31CA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proofErr w:type="gramStart"/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一</w:t>
            </w:r>
            <w:proofErr w:type="gramEnd"/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血液透析：</w:t>
            </w:r>
          </w:p>
          <w:p w14:paraId="6D4BA43F" w14:textId="77777777" w:rsidR="00F74ED5" w:rsidRPr="0027419D" w:rsidRDefault="00F74ED5" w:rsidP="0027419D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913" w:rightChars="104" w:right="250" w:hanging="411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查詢</w:t>
            </w:r>
            <w:r w:rsidRPr="0027419D">
              <w:rPr>
                <w:rFonts w:ascii="細明體" w:eastAsia="標楷體" w:hAnsi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7419D">
              <w:rPr>
                <w:rFonts w:ascii="細明體" w:eastAsia="標楷體" w:hAnsi="Times New Roman"/>
                <w:kern w:val="0"/>
                <w:sz w:val="28"/>
                <w:szCs w:val="28"/>
              </w:rPr>
              <w:t>並詢問</w:t>
            </w: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病人用藥</w:t>
            </w: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病史詢問</w:t>
            </w: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且記載於病歷。</w:t>
            </w:r>
          </w:p>
          <w:p w14:paraId="09E8F535" w14:textId="77777777" w:rsidR="00F74ED5" w:rsidRPr="0027419D" w:rsidRDefault="00F74ED5" w:rsidP="0027419D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913" w:rightChars="104" w:right="250" w:hanging="411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14:paraId="4913B085" w14:textId="77777777" w:rsidR="00F74ED5" w:rsidRPr="0027419D" w:rsidRDefault="00F74ED5" w:rsidP="0027419D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913" w:rightChars="104" w:right="250" w:hanging="411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術前預防性投藥，要謹慎評估，避免增加腎功能負擔。</w:t>
            </w:r>
          </w:p>
          <w:p w14:paraId="1367B5FC" w14:textId="77777777" w:rsidR="00F74ED5" w:rsidRPr="0027419D" w:rsidRDefault="00F74ED5" w:rsidP="0027419D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913" w:rightChars="73" w:right="175" w:hanging="411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7419D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原則上</w:t>
            </w: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非洗腎日做牙科處</w:t>
            </w:r>
            <w:r w:rsidRPr="0027419D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置，洗腎日不建議執行侵入性牙科處置</w:t>
            </w: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。</w:t>
            </w:r>
          </w:p>
          <w:p w14:paraId="0CBD4BF5" w14:textId="77777777" w:rsidR="00F74ED5" w:rsidRPr="0027419D" w:rsidRDefault="00F74ED5" w:rsidP="0027419D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913" w:rightChars="104" w:right="250" w:hanging="411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容易感染，注意術後。</w:t>
            </w:r>
          </w:p>
          <w:p w14:paraId="5517AD73" w14:textId="77777777" w:rsidR="00F74ED5" w:rsidRPr="0027419D" w:rsidRDefault="00F74ED5" w:rsidP="0027419D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913" w:rightChars="73" w:right="175" w:hanging="411"/>
              <w:jc w:val="both"/>
              <w:textAlignment w:val="bottom"/>
              <w:rPr>
                <w:rFonts w:ascii="Times New Roman" w:eastAsia="標楷體" w:hAnsi="Times New Roman"/>
                <w:bCs/>
                <w:kern w:val="0"/>
                <w:sz w:val="28"/>
                <w:szCs w:val="28"/>
              </w:rPr>
            </w:pP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牙科使用的局部麻醉藥多為肝臟代謝，可以安全使用。止痛藥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Acetaminophen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仍是最安全的選擇，其他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NSAID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類的藥物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(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如：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 xml:space="preserve">ketoprofen, </w:t>
            </w:r>
            <w:proofErr w:type="spellStart"/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ibuprogen</w:t>
            </w:r>
            <w:proofErr w:type="spellEnd"/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, naproxen)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可能會導致高血壓及提高出血風險，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Aspirin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則會影響血小板凝集的功能、提高腸胃道出血的風險。</w:t>
            </w:r>
          </w:p>
          <w:p w14:paraId="0865FE81" w14:textId="77777777" w:rsidR="00F74ED5" w:rsidRPr="0027419D" w:rsidRDefault="00F74ED5" w:rsidP="0027419D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913" w:rightChars="73" w:right="175" w:hanging="411"/>
              <w:jc w:val="both"/>
              <w:textAlignment w:val="bottom"/>
              <w:rPr>
                <w:rFonts w:ascii="Times New Roman" w:eastAsia="標楷體" w:hAnsi="Times New Roman"/>
                <w:bCs/>
                <w:kern w:val="0"/>
                <w:sz w:val="28"/>
                <w:szCs w:val="28"/>
              </w:rPr>
            </w:pP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治療前宜照會</w:t>
            </w:r>
            <w:proofErr w:type="gramEnd"/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或轉診至其他相關單位做進一步診治。</w:t>
            </w:r>
          </w:p>
          <w:p w14:paraId="4BE159A7" w14:textId="77777777" w:rsidR="00F74ED5" w:rsidRPr="002A31CA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二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腹膜透析：</w:t>
            </w:r>
          </w:p>
          <w:p w14:paraId="1F393DC0" w14:textId="77777777" w:rsidR="00F74ED5" w:rsidRPr="002A31CA" w:rsidRDefault="00F74ED5" w:rsidP="0027419D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913" w:rightChars="104" w:right="250" w:hanging="426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查詢</w:t>
            </w:r>
            <w:r w:rsidRPr="002A31CA">
              <w:rPr>
                <w:rFonts w:ascii="細明體" w:eastAsia="標楷體" w:hAnsi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A31CA">
              <w:rPr>
                <w:rFonts w:ascii="細明體" w:eastAsia="標楷體" w:hAnsi="Times New Roman"/>
                <w:kern w:val="0"/>
                <w:sz w:val="28"/>
                <w:szCs w:val="28"/>
              </w:rPr>
              <w:t>並詢問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病人用藥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病史詢問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且記載於病歷。</w:t>
            </w:r>
          </w:p>
          <w:p w14:paraId="7202BFAB" w14:textId="77777777" w:rsidR="00F74ED5" w:rsidRPr="002A31CA" w:rsidRDefault="00F74ED5" w:rsidP="0027419D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913" w:rightChars="104" w:right="250" w:hanging="426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14:paraId="6E8009EA" w14:textId="77777777" w:rsidR="00F74ED5" w:rsidRPr="002A31CA" w:rsidRDefault="00F74ED5" w:rsidP="0027419D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913" w:rightChars="104" w:right="250" w:hanging="426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術前預防性投藥，要謹慎評估，避免增加腎功能負擔。</w:t>
            </w:r>
          </w:p>
          <w:p w14:paraId="41094D85" w14:textId="77777777" w:rsidR="00F74ED5" w:rsidRDefault="00F74ED5" w:rsidP="0027419D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913" w:rightChars="104" w:right="250" w:hanging="426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容易感染，盡量減少傷口範圍，注意術後。</w:t>
            </w:r>
          </w:p>
          <w:p w14:paraId="1CEFB65E" w14:textId="77777777" w:rsidR="00F74ED5" w:rsidRPr="0027419D" w:rsidRDefault="00F74ED5" w:rsidP="00F74ED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42" w:rightChars="104" w:right="250" w:hanging="254"/>
              <w:jc w:val="both"/>
              <w:textAlignment w:val="bottom"/>
              <w:rPr>
                <w:rFonts w:ascii="Times New Roman" w:eastAsia="標楷體" w:hAnsi="Times New Roman"/>
                <w:bCs/>
                <w:kern w:val="0"/>
                <w:sz w:val="28"/>
                <w:szCs w:val="28"/>
              </w:rPr>
            </w:pP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lastRenderedPageBreak/>
              <w:t>牙科使用的局部麻醉藥多為肝臟代謝，可以安全使用。止痛藥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Acetaminophen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仍是最安全的選擇，其他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NSAID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類的藥物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(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如：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 xml:space="preserve">ketoprofen, </w:t>
            </w:r>
            <w:proofErr w:type="spellStart"/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ibuprogen</w:t>
            </w:r>
            <w:proofErr w:type="spellEnd"/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, naproxen)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可能會導致高血壓及提高出血風險，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Aspirin</w:t>
            </w: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則會影響血小板凝集的功能、提高腸胃道出血的風險。</w:t>
            </w:r>
          </w:p>
          <w:p w14:paraId="3333FFD4" w14:textId="77777777" w:rsidR="00F74ED5" w:rsidRPr="00F166C9" w:rsidRDefault="00F74ED5" w:rsidP="00F74ED5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42" w:rightChars="104" w:right="250" w:hanging="254"/>
              <w:jc w:val="both"/>
              <w:textAlignment w:val="bottom"/>
              <w:rPr>
                <w:rFonts w:ascii="Times New Roman" w:eastAsia="標楷體" w:hAnsi="Times New Roman"/>
                <w:b/>
                <w:kern w:val="0"/>
                <w:sz w:val="28"/>
                <w:szCs w:val="28"/>
                <w:u w:val="single"/>
              </w:rPr>
            </w:pPr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治療前宜照會</w:t>
            </w:r>
            <w:proofErr w:type="gramEnd"/>
            <w:r w:rsidRPr="0027419D">
              <w:rPr>
                <w:rFonts w:ascii="Times New Roman" w:eastAsia="標楷體" w:hAnsi="Times New Roman" w:hint="eastAsia"/>
                <w:bCs/>
                <w:kern w:val="0"/>
                <w:sz w:val="28"/>
                <w:szCs w:val="28"/>
              </w:rPr>
              <w:t>或轉診至其他相關單位做進一步診治。</w:t>
            </w:r>
          </w:p>
        </w:tc>
      </w:tr>
    </w:tbl>
    <w:p w14:paraId="6ECE242E" w14:textId="77777777" w:rsidR="00F74ED5" w:rsidRPr="002A31CA" w:rsidRDefault="00F74ED5" w:rsidP="00F74ED5">
      <w:pPr>
        <w:autoSpaceDE w:val="0"/>
        <w:autoSpaceDN w:val="0"/>
        <w:adjustRightInd w:val="0"/>
        <w:snapToGrid w:val="0"/>
        <w:spacing w:line="240" w:lineRule="atLeast"/>
        <w:ind w:leftChars="-236" w:left="-566" w:rightChars="-236" w:right="-566"/>
        <w:jc w:val="both"/>
        <w:textAlignment w:val="bottom"/>
        <w:rPr>
          <w:rFonts w:ascii="Times New Roman" w:eastAsia="標楷體" w:hAnsi="Times New Roman"/>
          <w:b/>
          <w:kern w:val="0"/>
          <w:sz w:val="28"/>
          <w:szCs w:val="28"/>
        </w:rPr>
      </w:pPr>
      <w:r w:rsidRPr="002A31CA">
        <w:rPr>
          <w:rFonts w:ascii="Times New Roman" w:eastAsia="標楷體" w:hAnsi="Times New Roman"/>
          <w:b/>
          <w:kern w:val="0"/>
          <w:sz w:val="28"/>
          <w:szCs w:val="28"/>
        </w:rPr>
        <w:t>【背景</w:t>
      </w:r>
      <w:r w:rsidRPr="002A31CA">
        <w:rPr>
          <w:rFonts w:ascii="細明體" w:eastAsia="標楷體" w:hAnsi="Times New Roman"/>
          <w:b/>
          <w:kern w:val="0"/>
          <w:sz w:val="28"/>
          <w:szCs w:val="28"/>
        </w:rPr>
        <w:t>說明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(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參考事項</w:t>
      </w:r>
      <w:r w:rsidRPr="002A31CA">
        <w:rPr>
          <w:rFonts w:ascii="Times New Roman" w:eastAsia="標楷體" w:hAnsi="Times New Roman" w:hint="eastAsia"/>
          <w:b/>
          <w:kern w:val="0"/>
          <w:sz w:val="28"/>
          <w:szCs w:val="28"/>
        </w:rPr>
        <w:t>)</w:t>
      </w:r>
      <w:r w:rsidRPr="002A31CA">
        <w:rPr>
          <w:rFonts w:ascii="Times New Roman" w:eastAsia="標楷體" w:hAnsi="Times New Roman"/>
          <w:b/>
          <w:kern w:val="0"/>
          <w:sz w:val="28"/>
          <w:szCs w:val="28"/>
        </w:rPr>
        <w:t>】</w:t>
      </w:r>
    </w:p>
    <w:p w14:paraId="754EF337" w14:textId="69A7F2BD" w:rsidR="00F74ED5" w:rsidRPr="0027419D" w:rsidRDefault="00F74ED5" w:rsidP="0027419D">
      <w:pPr>
        <w:pStyle w:val="af3"/>
        <w:numPr>
          <w:ilvl w:val="3"/>
          <w:numId w:val="48"/>
        </w:numPr>
        <w:autoSpaceDE w:val="0"/>
        <w:autoSpaceDN w:val="0"/>
        <w:adjustRightInd w:val="0"/>
        <w:snapToGrid w:val="0"/>
        <w:spacing w:line="240" w:lineRule="atLeast"/>
        <w:ind w:leftChars="0" w:left="567" w:right="-427" w:hanging="567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27419D">
        <w:rPr>
          <w:rFonts w:ascii="Times New Roman" w:eastAsia="標楷體" w:hAnsi="Times New Roman"/>
          <w:kern w:val="0"/>
          <w:sz w:val="28"/>
          <w:szCs w:val="28"/>
        </w:rPr>
        <w:t>血液透析病人若要進行大範圍、侵入性治療或手術，建議可詢問原腎臟科醫師是否能調整抗凝血劑或非類固醇抗發炎藥</w:t>
      </w:r>
      <w:r w:rsidRPr="0027419D">
        <w:rPr>
          <w:rFonts w:ascii="Times New Roman" w:eastAsia="標楷體" w:hAnsi="Times New Roman"/>
          <w:kern w:val="0"/>
          <w:sz w:val="28"/>
          <w:szCs w:val="28"/>
        </w:rPr>
        <w:t>NSAID</w:t>
      </w:r>
      <w:r w:rsidRPr="0027419D">
        <w:rPr>
          <w:rFonts w:ascii="Times New Roman" w:eastAsia="標楷體" w:hAnsi="Times New Roman"/>
          <w:kern w:val="0"/>
          <w:sz w:val="28"/>
          <w:szCs w:val="28"/>
        </w:rPr>
        <w:t>使用的劑量，可以改善其</w:t>
      </w:r>
      <w:proofErr w:type="gramStart"/>
      <w:r w:rsidRPr="0027419D">
        <w:rPr>
          <w:rFonts w:ascii="Times New Roman" w:eastAsia="標楷體" w:hAnsi="Times New Roman"/>
          <w:kern w:val="0"/>
          <w:sz w:val="28"/>
          <w:szCs w:val="28"/>
        </w:rPr>
        <w:t>術後凝血</w:t>
      </w:r>
      <w:proofErr w:type="gramEnd"/>
      <w:r w:rsidRPr="0027419D">
        <w:rPr>
          <w:rFonts w:ascii="Times New Roman" w:eastAsia="標楷體" w:hAnsi="Times New Roman"/>
          <w:kern w:val="0"/>
          <w:sz w:val="28"/>
          <w:szCs w:val="28"/>
        </w:rPr>
        <w:t>的問題。</w:t>
      </w:r>
    </w:p>
    <w:p w14:paraId="70D58495" w14:textId="15B22E88" w:rsidR="00F74ED5" w:rsidRPr="0027419D" w:rsidRDefault="00F74ED5" w:rsidP="0027419D">
      <w:pPr>
        <w:pStyle w:val="af3"/>
        <w:numPr>
          <w:ilvl w:val="3"/>
          <w:numId w:val="48"/>
        </w:numPr>
        <w:autoSpaceDE w:val="0"/>
        <w:autoSpaceDN w:val="0"/>
        <w:adjustRightInd w:val="0"/>
        <w:snapToGrid w:val="0"/>
        <w:spacing w:line="240" w:lineRule="atLeast"/>
        <w:ind w:leftChars="0" w:left="567" w:right="-427" w:hanging="567"/>
        <w:jc w:val="both"/>
        <w:textAlignment w:val="bottom"/>
        <w:rPr>
          <w:rFonts w:ascii="Times New Roman" w:eastAsia="標楷體" w:hAnsi="Times New Roman"/>
          <w:bCs/>
          <w:kern w:val="0"/>
          <w:sz w:val="28"/>
          <w:szCs w:val="28"/>
        </w:rPr>
      </w:pP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解熱鎮痛劑為牙科常見藥物，慢性腎臟病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(CKD)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病人應避免使用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NSAID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藥物。</w:t>
      </w:r>
    </w:p>
    <w:p w14:paraId="4A4C2EDB" w14:textId="729EB3B5" w:rsidR="00F74ED5" w:rsidRPr="0027419D" w:rsidRDefault="00F74ED5" w:rsidP="0027419D">
      <w:pPr>
        <w:pStyle w:val="af3"/>
        <w:numPr>
          <w:ilvl w:val="3"/>
          <w:numId w:val="48"/>
        </w:numPr>
        <w:autoSpaceDE w:val="0"/>
        <w:autoSpaceDN w:val="0"/>
        <w:adjustRightInd w:val="0"/>
        <w:snapToGrid w:val="0"/>
        <w:spacing w:line="240" w:lineRule="atLeast"/>
        <w:ind w:leftChars="0" w:left="567" w:right="-427" w:hanging="567"/>
        <w:jc w:val="both"/>
        <w:textAlignment w:val="bottom"/>
        <w:rPr>
          <w:rFonts w:ascii="Times New Roman" w:eastAsia="標楷體" w:hAnsi="Times New Roman"/>
          <w:bCs/>
          <w:kern w:val="0"/>
          <w:sz w:val="28"/>
          <w:szCs w:val="28"/>
        </w:rPr>
      </w:pP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對於還在接受腎臟保守性藥物療法或是腹膜透析的病人，牙科治療方面須考量的問題與一般病人沒有太大的差異，只要避免使用腎毒性的藥物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(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如：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Tetracyclines or aminoglycosides)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，及因為此類型病人常見有高血壓的情況，治療時要特別注意血壓的部分。</w:t>
      </w:r>
    </w:p>
    <w:p w14:paraId="67AE6298" w14:textId="056DD7E4" w:rsidR="00F74ED5" w:rsidRPr="0027419D" w:rsidRDefault="00F74ED5" w:rsidP="0027419D">
      <w:pPr>
        <w:pStyle w:val="af3"/>
        <w:numPr>
          <w:ilvl w:val="3"/>
          <w:numId w:val="48"/>
        </w:numPr>
        <w:autoSpaceDE w:val="0"/>
        <w:autoSpaceDN w:val="0"/>
        <w:adjustRightInd w:val="0"/>
        <w:snapToGrid w:val="0"/>
        <w:spacing w:line="240" w:lineRule="atLeast"/>
        <w:ind w:leftChars="0" w:left="567" w:right="-427" w:hanging="567"/>
        <w:jc w:val="both"/>
        <w:textAlignment w:val="bottom"/>
        <w:rPr>
          <w:rFonts w:ascii="Times New Roman" w:eastAsia="標楷體" w:hAnsi="Times New Roman"/>
          <w:bCs/>
          <w:kern w:val="0"/>
          <w:sz w:val="28"/>
          <w:szCs w:val="28"/>
        </w:rPr>
      </w:pP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假使有</w:t>
      </w:r>
      <w:proofErr w:type="gramStart"/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急性齒源</w:t>
      </w:r>
      <w:proofErr w:type="gramEnd"/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性感染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(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如：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periapical periodontitis, periapical periodontal abscess)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，病人需要接受一個完整的抗生素療程。要避免使用腎毒性的抗生素，並且給藥時一定要先確認病人的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GFR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，根據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GFR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的數值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 xml:space="preserve"> 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來調整給藥劑量及間隔。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Penicillin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類及其衍生藥物、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Clindamycin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、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Cephalosporins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都算是相對安全的藥物，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Aminoglycosides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、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Tetracyclines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、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Polypeptide antibiotics</w:t>
      </w:r>
      <w:r w:rsidRPr="0027419D">
        <w:rPr>
          <w:rFonts w:ascii="Times New Roman" w:eastAsia="標楷體" w:hAnsi="Times New Roman" w:hint="eastAsia"/>
          <w:bCs/>
          <w:kern w:val="0"/>
          <w:sz w:val="28"/>
          <w:szCs w:val="28"/>
        </w:rPr>
        <w:t>這三類藥物具有腎毒性，應該避免使用。</w:t>
      </w:r>
    </w:p>
    <w:p w14:paraId="280955A9" w14:textId="77777777" w:rsidR="00F74ED5" w:rsidRPr="00D719F5" w:rsidRDefault="00F74ED5" w:rsidP="00F74ED5">
      <w:pPr>
        <w:autoSpaceDE w:val="0"/>
        <w:autoSpaceDN w:val="0"/>
        <w:adjustRightInd w:val="0"/>
        <w:snapToGrid w:val="0"/>
        <w:spacing w:line="240" w:lineRule="atLeast"/>
        <w:ind w:leftChars="-60" w:left="142" w:rightChars="-236" w:right="-566" w:hangingChars="102" w:hanging="286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  <w:u w:val="single"/>
        </w:rPr>
      </w:pPr>
    </w:p>
    <w:tbl>
      <w:tblPr>
        <w:tblW w:w="10211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6978"/>
      </w:tblGrid>
      <w:tr w:rsidR="00F74ED5" w:rsidRPr="002A31CA" w14:paraId="090B36F1" w14:textId="77777777" w:rsidTr="00755819">
        <w:tc>
          <w:tcPr>
            <w:tcW w:w="1390" w:type="dxa"/>
            <w:shd w:val="clear" w:color="auto" w:fill="auto"/>
          </w:tcPr>
          <w:p w14:paraId="0927F237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ind w:rightChars="-45" w:right="-108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14:paraId="5C83D5D6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6978" w:type="dxa"/>
            <w:shd w:val="clear" w:color="auto" w:fill="auto"/>
          </w:tcPr>
          <w:p w14:paraId="48AF52E0" w14:textId="77777777" w:rsidR="00F74ED5" w:rsidRPr="002A31CA" w:rsidRDefault="00F74ED5" w:rsidP="0028753B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F74ED5" w:rsidRPr="00F74ED5" w14:paraId="1E7405BF" w14:textId="77777777" w:rsidTr="00755819">
        <w:tc>
          <w:tcPr>
            <w:tcW w:w="1390" w:type="dxa"/>
            <w:shd w:val="clear" w:color="auto" w:fill="auto"/>
          </w:tcPr>
          <w:p w14:paraId="0E476DAE" w14:textId="77777777" w:rsidR="00F74ED5" w:rsidRPr="00F74ED5" w:rsidRDefault="00F74ED5" w:rsidP="00FE21FF">
            <w:pPr>
              <w:ind w:right="-1"/>
              <w:jc w:val="both"/>
              <w:rPr>
                <w:rFonts w:ascii="Times New Roman" w:eastAsia="標楷體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6547738A" w14:textId="77777777" w:rsidR="00F74ED5" w:rsidRPr="00F74ED5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</w:pPr>
            <w:r w:rsidRPr="00F74ED5"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  <w:t>七、器官移植病人</w:t>
            </w:r>
          </w:p>
        </w:tc>
        <w:tc>
          <w:tcPr>
            <w:tcW w:w="6978" w:type="dxa"/>
            <w:shd w:val="clear" w:color="auto" w:fill="auto"/>
          </w:tcPr>
          <w:p w14:paraId="01287258" w14:textId="77777777" w:rsidR="00F74ED5" w:rsidRPr="00F74ED5" w:rsidRDefault="00F74ED5" w:rsidP="0027419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511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F74ED5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查詢健保醫療資訊雲端查詢系統並詢問病人用藥</w:t>
            </w:r>
            <w:r w:rsidRPr="00F74ED5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(</w:t>
            </w:r>
            <w:r w:rsidRPr="00F74ED5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病史詢問</w:t>
            </w:r>
            <w:r w:rsidRPr="00F74ED5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)</w:t>
            </w:r>
            <w:r w:rsidRPr="00F74ED5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且記載於病歷。</w:t>
            </w:r>
          </w:p>
          <w:p w14:paraId="07B73B17" w14:textId="77777777" w:rsidR="00F74ED5" w:rsidRPr="00F74ED5" w:rsidRDefault="00F74ED5" w:rsidP="0027419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511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F74ED5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14:paraId="1B629FC6" w14:textId="77777777" w:rsidR="00F74ED5" w:rsidRPr="00F74ED5" w:rsidRDefault="00F74ED5" w:rsidP="0027419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511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F74ED5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病人一年之內施打或服用抗排斥藥物、免疫抑制劑、抗凝血用藥狀況評估及追蹤。</w:t>
            </w:r>
          </w:p>
          <w:p w14:paraId="319839AC" w14:textId="77777777" w:rsidR="00F74ED5" w:rsidRPr="00F74ED5" w:rsidRDefault="00F74ED5" w:rsidP="0027419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511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F74ED5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病人半年內的內科及系統性用藥及身體狀況追蹤及評估。</w:t>
            </w:r>
          </w:p>
          <w:p w14:paraId="37E9494C" w14:textId="77777777" w:rsidR="00F74ED5" w:rsidRPr="00F74ED5" w:rsidRDefault="00F74ED5" w:rsidP="0027419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511"/>
              <w:jc w:val="both"/>
              <w:textAlignment w:val="bottom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F74ED5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術前預防性投藥。</w:t>
            </w:r>
          </w:p>
          <w:p w14:paraId="0BADC796" w14:textId="77777777" w:rsidR="00F74ED5" w:rsidRPr="00F74ED5" w:rsidRDefault="00F74ED5" w:rsidP="0027419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511"/>
              <w:jc w:val="both"/>
              <w:textAlignment w:val="bottom"/>
              <w:rPr>
                <w:rFonts w:ascii="Times New Roman" w:eastAsia="細明體" w:hAnsi="Times New Roman" w:cs="Times New Roman"/>
                <w:kern w:val="0"/>
                <w:sz w:val="28"/>
                <w:szCs w:val="28"/>
              </w:rPr>
            </w:pPr>
            <w:r w:rsidRPr="00F74ED5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術後流血狀況監控。</w:t>
            </w:r>
          </w:p>
          <w:p w14:paraId="24CE6E8E" w14:textId="77777777" w:rsidR="00F74ED5" w:rsidRPr="0027419D" w:rsidRDefault="00F74ED5" w:rsidP="0027419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511"/>
              <w:jc w:val="both"/>
              <w:textAlignment w:val="bottom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7419D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27419D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治療前宜照會</w:t>
            </w:r>
            <w:proofErr w:type="gramEnd"/>
            <w:r w:rsidRPr="0027419D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或轉診至其他相關單位做進一步診治。</w:t>
            </w:r>
          </w:p>
        </w:tc>
      </w:tr>
    </w:tbl>
    <w:p w14:paraId="553DE927" w14:textId="77777777" w:rsidR="0027419D" w:rsidRDefault="0027419D" w:rsidP="00F74ED5">
      <w:pPr>
        <w:widowControl/>
        <w:adjustRightInd w:val="0"/>
        <w:snapToGrid w:val="0"/>
        <w:spacing w:line="240" w:lineRule="atLeast"/>
        <w:ind w:leftChars="-236" w:left="426" w:hangingChars="354" w:hanging="992"/>
        <w:jc w:val="both"/>
        <w:rPr>
          <w:rFonts w:ascii="Times New Roman" w:eastAsia="標楷體" w:hAnsi="Times New Roman" w:cs="Times New Roman"/>
          <w:b/>
          <w:sz w:val="28"/>
          <w:szCs w:val="28"/>
        </w:rPr>
      </w:pPr>
    </w:p>
    <w:p w14:paraId="640D20CA" w14:textId="786EFF1D" w:rsidR="00F74ED5" w:rsidRPr="00F74ED5" w:rsidRDefault="00F74ED5" w:rsidP="00F74ED5">
      <w:pPr>
        <w:widowControl/>
        <w:adjustRightInd w:val="0"/>
        <w:snapToGrid w:val="0"/>
        <w:spacing w:line="240" w:lineRule="atLeast"/>
        <w:ind w:leftChars="-236" w:left="426" w:hangingChars="354" w:hanging="992"/>
        <w:jc w:val="both"/>
        <w:rPr>
          <w:rFonts w:ascii="Times New Roman" w:eastAsia="標楷體" w:hAnsi="Times New Roman" w:cs="Times New Roman"/>
          <w:b/>
          <w:sz w:val="28"/>
          <w:szCs w:val="28"/>
        </w:rPr>
      </w:pPr>
      <w:r w:rsidRPr="00F74ED5">
        <w:rPr>
          <w:rFonts w:ascii="Times New Roman" w:eastAsia="標楷體" w:hAnsi="Times New Roman" w:cs="Times New Roman"/>
          <w:b/>
          <w:sz w:val="28"/>
          <w:szCs w:val="28"/>
        </w:rPr>
        <w:lastRenderedPageBreak/>
        <w:t>【背景說明</w:t>
      </w:r>
      <w:r w:rsidRPr="00F74ED5">
        <w:rPr>
          <w:rFonts w:ascii="Times New Roman" w:eastAsia="標楷體" w:hAnsi="Times New Roman" w:cs="Times New Roman"/>
          <w:b/>
          <w:sz w:val="28"/>
          <w:szCs w:val="28"/>
        </w:rPr>
        <w:t>(</w:t>
      </w:r>
      <w:r w:rsidRPr="00F74ED5">
        <w:rPr>
          <w:rFonts w:ascii="Times New Roman" w:eastAsia="標楷體" w:hAnsi="Times New Roman" w:cs="Times New Roman"/>
          <w:b/>
          <w:sz w:val="28"/>
          <w:szCs w:val="28"/>
        </w:rPr>
        <w:t>參考事項</w:t>
      </w:r>
      <w:r w:rsidRPr="00F74ED5">
        <w:rPr>
          <w:rFonts w:ascii="Times New Roman" w:eastAsia="標楷體" w:hAnsi="Times New Roman" w:cs="Times New Roman"/>
          <w:b/>
          <w:sz w:val="28"/>
          <w:szCs w:val="28"/>
        </w:rPr>
        <w:t>)</w:t>
      </w:r>
      <w:r w:rsidRPr="00F74ED5">
        <w:rPr>
          <w:rFonts w:ascii="Times New Roman" w:eastAsia="標楷體" w:hAnsi="Times New Roman" w:cs="Times New Roman"/>
          <w:b/>
          <w:sz w:val="28"/>
          <w:szCs w:val="28"/>
        </w:rPr>
        <w:t>】</w:t>
      </w:r>
    </w:p>
    <w:p w14:paraId="66AFCC42" w14:textId="77777777" w:rsidR="00F74ED5" w:rsidRPr="002A31CA" w:rsidRDefault="00F74ED5" w:rsidP="0027419D">
      <w:pPr>
        <w:widowControl/>
        <w:adjustRightInd w:val="0"/>
        <w:snapToGrid w:val="0"/>
        <w:spacing w:line="240" w:lineRule="atLeast"/>
        <w:ind w:leftChars="-118" w:left="-283" w:rightChars="-177" w:right="-425" w:firstLine="1"/>
        <w:jc w:val="both"/>
        <w:rPr>
          <w:rFonts w:ascii="Times New Roman" w:eastAsia="標楷體" w:hAnsi="Times New Roman"/>
          <w:sz w:val="28"/>
          <w:szCs w:val="28"/>
        </w:rPr>
      </w:pPr>
      <w:r w:rsidRPr="00F74ED5">
        <w:rPr>
          <w:rFonts w:ascii="Times New Roman" w:eastAsia="標楷體" w:hAnsi="Times New Roman" w:cs="Times New Roman"/>
          <w:sz w:val="28"/>
          <w:szCs w:val="28"/>
        </w:rPr>
        <w:t>若為換心手術病人可進行預防性抗生素投藥。另外，</w:t>
      </w:r>
      <w:r w:rsidRPr="002A31CA">
        <w:rPr>
          <w:rFonts w:ascii="Times New Roman" w:eastAsia="標楷體" w:hAnsi="Times New Roman" w:hint="eastAsia"/>
          <w:sz w:val="28"/>
          <w:szCs w:val="28"/>
        </w:rPr>
        <w:t>應注意病人是否仍使用抗排斥藥物，並了解該藥物對免疫功能的影響程度，也了解對白血球功能的影響等，或是對造血功能的影響。若移植已經很長一段時間，也沒有使用抗排斥的藥物，屬於穩定病人，除了換心的病人外，可與一般人一樣，可接受常規的牙科處置。</w:t>
      </w:r>
    </w:p>
    <w:p w14:paraId="013BE8E1" w14:textId="77777777" w:rsidR="00F74ED5" w:rsidRPr="002A31CA" w:rsidRDefault="00F74ED5" w:rsidP="00F74ED5">
      <w:pPr>
        <w:widowControl/>
        <w:adjustRightInd w:val="0"/>
        <w:snapToGrid w:val="0"/>
        <w:spacing w:line="240" w:lineRule="atLeast"/>
        <w:ind w:leftChars="-236" w:left="425" w:hangingChars="354" w:hanging="991"/>
        <w:jc w:val="both"/>
        <w:rPr>
          <w:rFonts w:ascii="Times New Roman" w:eastAsia="標楷體" w:hAnsi="Times New Roman"/>
          <w:sz w:val="28"/>
          <w:szCs w:val="28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6974"/>
      </w:tblGrid>
      <w:tr w:rsidR="00F74ED5" w:rsidRPr="002A31CA" w14:paraId="2777FE95" w14:textId="77777777" w:rsidTr="00755819">
        <w:trPr>
          <w:tblHeader/>
        </w:trPr>
        <w:tc>
          <w:tcPr>
            <w:tcW w:w="1390" w:type="dxa"/>
            <w:shd w:val="clear" w:color="auto" w:fill="auto"/>
          </w:tcPr>
          <w:p w14:paraId="7261BE9A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ind w:rightChars="-45" w:right="-108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14:paraId="2ADA02FF" w14:textId="77777777" w:rsidR="00F74ED5" w:rsidRPr="002A31CA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6974" w:type="dxa"/>
            <w:shd w:val="clear" w:color="auto" w:fill="auto"/>
          </w:tcPr>
          <w:p w14:paraId="08B1C8FB" w14:textId="77777777" w:rsidR="00F74ED5" w:rsidRPr="002A31CA" w:rsidRDefault="00F74ED5" w:rsidP="0028753B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F74ED5" w:rsidRPr="002A31CA" w14:paraId="57C7ED06" w14:textId="77777777" w:rsidTr="00755819">
        <w:trPr>
          <w:trHeight w:val="1559"/>
        </w:trPr>
        <w:tc>
          <w:tcPr>
            <w:tcW w:w="1390" w:type="dxa"/>
            <w:shd w:val="clear" w:color="auto" w:fill="auto"/>
          </w:tcPr>
          <w:p w14:paraId="416E52DA" w14:textId="77777777" w:rsidR="00F74ED5" w:rsidRPr="002A31CA" w:rsidRDefault="00F74ED5" w:rsidP="00FE21FF">
            <w:pPr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406D3BEE" w14:textId="77777777" w:rsidR="00F74ED5" w:rsidRPr="002A31CA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八、精神疾病</w:t>
            </w:r>
            <w:r w:rsidRPr="002A31CA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(</w:t>
            </w:r>
            <w:r w:rsidRPr="002A31CA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鎮靜劑、安眠藥、抗焦慮藥物</w:t>
            </w:r>
            <w:r w:rsidRPr="002A31CA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)</w:t>
            </w:r>
          </w:p>
        </w:tc>
        <w:tc>
          <w:tcPr>
            <w:tcW w:w="6974" w:type="dxa"/>
            <w:shd w:val="clear" w:color="auto" w:fill="auto"/>
          </w:tcPr>
          <w:p w14:paraId="39A0DEEC" w14:textId="77777777" w:rsidR="00F74ED5" w:rsidRPr="0027419D" w:rsidRDefault="00F74ED5" w:rsidP="0027419D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481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查詢</w:t>
            </w:r>
            <w:r w:rsidRPr="0027419D">
              <w:rPr>
                <w:rFonts w:ascii="細明體" w:eastAsia="標楷體" w:hAnsi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27419D">
              <w:rPr>
                <w:rFonts w:ascii="細明體" w:eastAsia="標楷體" w:hAnsi="Times New Roman"/>
                <w:kern w:val="0"/>
                <w:sz w:val="28"/>
                <w:szCs w:val="28"/>
              </w:rPr>
              <w:t>並詢問</w:t>
            </w: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病人用藥</w:t>
            </w: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病史詢問</w:t>
            </w: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且記載於病歷。</w:t>
            </w:r>
          </w:p>
          <w:p w14:paraId="6B94C5D2" w14:textId="77777777" w:rsidR="00F74ED5" w:rsidRPr="0027419D" w:rsidRDefault="00F74ED5" w:rsidP="0027419D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481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27419D">
              <w:rPr>
                <w:rFonts w:ascii="Times New Roman" w:eastAsia="標楷體" w:hAnsi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14:paraId="4575EB12" w14:textId="77777777" w:rsidR="00F74ED5" w:rsidRPr="00F74ED5" w:rsidRDefault="00F74ED5" w:rsidP="0027419D">
            <w:pPr>
              <w:numPr>
                <w:ilvl w:val="0"/>
                <w:numId w:val="18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481"/>
              <w:jc w:val="both"/>
              <w:textAlignment w:val="bottom"/>
              <w:rPr>
                <w:rFonts w:ascii="Times New Roman" w:eastAsia="標楷體" w:hAnsi="Times New Roman"/>
                <w:bCs/>
                <w:kern w:val="0"/>
                <w:sz w:val="28"/>
                <w:szCs w:val="28"/>
                <w:u w:val="single"/>
              </w:rPr>
            </w:pPr>
            <w:r w:rsidRPr="0027419D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27419D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治療前宜照會</w:t>
            </w:r>
            <w:proofErr w:type="gramEnd"/>
            <w:r w:rsidRPr="0027419D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或轉診至其他相關單位做進一步診治。</w:t>
            </w:r>
          </w:p>
        </w:tc>
      </w:tr>
    </w:tbl>
    <w:p w14:paraId="2BDCF711" w14:textId="77777777" w:rsidR="00F74ED5" w:rsidRPr="002A31CA" w:rsidRDefault="00F74ED5" w:rsidP="00F74ED5">
      <w:pPr>
        <w:widowControl/>
        <w:adjustRightInd w:val="0"/>
        <w:snapToGrid w:val="0"/>
        <w:spacing w:line="240" w:lineRule="atLeast"/>
        <w:ind w:leftChars="-236" w:left="426" w:hangingChars="354" w:hanging="992"/>
        <w:jc w:val="both"/>
        <w:rPr>
          <w:rFonts w:ascii="Times New Roman" w:eastAsia="標楷體" w:hAnsi="Times New Roman"/>
          <w:b/>
          <w:sz w:val="28"/>
          <w:szCs w:val="28"/>
        </w:rPr>
      </w:pPr>
      <w:r w:rsidRPr="002A31CA">
        <w:rPr>
          <w:rFonts w:ascii="Times New Roman" w:eastAsia="標楷體" w:hAnsi="Times New Roman" w:hint="eastAsia"/>
          <w:b/>
          <w:sz w:val="28"/>
          <w:szCs w:val="28"/>
        </w:rPr>
        <w:t>【背景說明</w:t>
      </w:r>
      <w:r w:rsidRPr="002A31CA">
        <w:rPr>
          <w:rFonts w:ascii="Times New Roman" w:eastAsia="標楷體" w:hAnsi="Times New Roman" w:hint="eastAsia"/>
          <w:b/>
          <w:sz w:val="28"/>
          <w:szCs w:val="28"/>
        </w:rPr>
        <w:t>(</w:t>
      </w:r>
      <w:r w:rsidRPr="002A31CA">
        <w:rPr>
          <w:rFonts w:ascii="Times New Roman" w:eastAsia="標楷體" w:hAnsi="Times New Roman" w:hint="eastAsia"/>
          <w:b/>
          <w:sz w:val="28"/>
          <w:szCs w:val="28"/>
        </w:rPr>
        <w:t>參考事項</w:t>
      </w:r>
      <w:r w:rsidRPr="002A31CA">
        <w:rPr>
          <w:rFonts w:ascii="Times New Roman" w:eastAsia="標楷體" w:hAnsi="Times New Roman" w:hint="eastAsia"/>
          <w:b/>
          <w:sz w:val="28"/>
          <w:szCs w:val="28"/>
        </w:rPr>
        <w:t>)</w:t>
      </w:r>
      <w:r w:rsidRPr="002A31CA">
        <w:rPr>
          <w:rFonts w:ascii="Times New Roman" w:eastAsia="標楷體" w:hAnsi="Times New Roman" w:hint="eastAsia"/>
          <w:b/>
          <w:sz w:val="28"/>
          <w:szCs w:val="28"/>
        </w:rPr>
        <w:t>】</w:t>
      </w:r>
    </w:p>
    <w:p w14:paraId="56FF12A1" w14:textId="77777777" w:rsidR="00F74ED5" w:rsidRPr="002A31CA" w:rsidRDefault="00F74ED5" w:rsidP="0028753B">
      <w:pPr>
        <w:widowControl/>
        <w:numPr>
          <w:ilvl w:val="0"/>
          <w:numId w:val="27"/>
        </w:numPr>
        <w:adjustRightInd w:val="0"/>
        <w:snapToGrid w:val="0"/>
        <w:spacing w:line="240" w:lineRule="atLeast"/>
        <w:ind w:leftChars="-60" w:left="282" w:rightChars="-118" w:right="-283" w:hangingChars="152" w:hanging="426"/>
        <w:jc w:val="both"/>
        <w:rPr>
          <w:rFonts w:ascii="Times New Roman" w:eastAsia="標楷體" w:hAnsi="Times New Roman"/>
          <w:sz w:val="28"/>
          <w:szCs w:val="28"/>
        </w:rPr>
      </w:pPr>
      <w:r w:rsidRPr="002A31CA">
        <w:rPr>
          <w:rFonts w:ascii="Times New Roman" w:eastAsia="標楷體" w:hAnsi="Times New Roman" w:hint="eastAsia"/>
          <w:sz w:val="28"/>
          <w:szCs w:val="28"/>
        </w:rPr>
        <w:t>精神病相關用藥與牙科常用藥物容易產生藥物交互作用</w:t>
      </w:r>
    </w:p>
    <w:p w14:paraId="127A80F5" w14:textId="77777777" w:rsidR="00F74ED5" w:rsidRPr="007F6DD9" w:rsidRDefault="00F74ED5" w:rsidP="0028753B">
      <w:pPr>
        <w:widowControl/>
        <w:numPr>
          <w:ilvl w:val="0"/>
          <w:numId w:val="27"/>
        </w:numPr>
        <w:adjustRightInd w:val="0"/>
        <w:snapToGrid w:val="0"/>
        <w:spacing w:line="240" w:lineRule="atLeast"/>
        <w:ind w:leftChars="-60" w:left="282" w:rightChars="-118" w:right="-283" w:hangingChars="152" w:hanging="426"/>
        <w:jc w:val="both"/>
        <w:rPr>
          <w:rFonts w:ascii="Times New Roman" w:eastAsia="標楷體" w:hAnsi="Times New Roman"/>
          <w:sz w:val="28"/>
          <w:szCs w:val="28"/>
          <w:shd w:val="clear" w:color="auto" w:fill="FFFFFF"/>
        </w:rPr>
      </w:pPr>
      <w:r w:rsidRPr="002A31CA">
        <w:rPr>
          <w:rFonts w:ascii="Times New Roman" w:eastAsia="標楷體" w:hAnsi="Times New Roman" w:hint="eastAsia"/>
          <w:sz w:val="28"/>
          <w:szCs w:val="28"/>
        </w:rPr>
        <w:t>有些精神科藥物具抗膽鹼作用，會造成口乾及唾液分泌減少，易產生蛀牙及念珠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菌</w:t>
      </w:r>
      <w:proofErr w:type="gramEnd"/>
      <w:r w:rsidRPr="002A31CA">
        <w:rPr>
          <w:rFonts w:ascii="Times New Roman" w:eastAsia="標楷體" w:hAnsi="Times New Roman" w:hint="eastAsia"/>
          <w:sz w:val="28"/>
          <w:szCs w:val="28"/>
        </w:rPr>
        <w:t>感染。部分精神科藥物所產生的錐體外路徑症候群</w:t>
      </w:r>
      <w:r w:rsidRPr="002A31CA">
        <w:rPr>
          <w:rFonts w:ascii="Times New Roman" w:eastAsia="標楷體" w:hAnsi="Times New Roman" w:hint="eastAsia"/>
          <w:sz w:val="28"/>
          <w:szCs w:val="28"/>
        </w:rPr>
        <w:t>(Extrapyramidal symptoms</w:t>
      </w:r>
      <w:r w:rsidRPr="002A31CA">
        <w:rPr>
          <w:rFonts w:ascii="Times New Roman" w:eastAsia="標楷體" w:hAnsi="Times New Roman" w:hint="eastAsia"/>
          <w:sz w:val="28"/>
          <w:szCs w:val="28"/>
        </w:rPr>
        <w:t>，</w:t>
      </w:r>
      <w:r w:rsidRPr="002A31CA">
        <w:rPr>
          <w:rFonts w:ascii="Times New Roman" w:eastAsia="標楷體" w:hAnsi="Times New Roman" w:hint="eastAsia"/>
          <w:sz w:val="28"/>
          <w:szCs w:val="28"/>
        </w:rPr>
        <w:t>EPS)</w:t>
      </w:r>
      <w:r w:rsidRPr="002A31CA">
        <w:rPr>
          <w:rFonts w:ascii="Times New Roman" w:eastAsia="標楷體" w:hAnsi="Times New Roman" w:hint="eastAsia"/>
          <w:sz w:val="28"/>
          <w:szCs w:val="28"/>
        </w:rPr>
        <w:t>副作用及遲發性運動異常，其行為特徵包括肢體僵直、無力，</w:t>
      </w:r>
      <w:r w:rsidRPr="007F6DD9">
        <w:rPr>
          <w:rFonts w:ascii="Times New Roman" w:eastAsia="標楷體" w:hAnsi="Times New Roman" w:hint="eastAsia"/>
          <w:sz w:val="28"/>
          <w:szCs w:val="28"/>
          <w:shd w:val="clear" w:color="auto" w:fill="FFFFFF"/>
        </w:rPr>
        <w:t>舌頭靈活控制度不足，食物容易殘留在</w:t>
      </w:r>
      <w:proofErr w:type="gramStart"/>
      <w:r w:rsidRPr="007F6DD9">
        <w:rPr>
          <w:rFonts w:ascii="Times New Roman" w:eastAsia="標楷體" w:hAnsi="Times New Roman" w:hint="eastAsia"/>
          <w:sz w:val="28"/>
          <w:szCs w:val="28"/>
          <w:shd w:val="clear" w:color="auto" w:fill="FFFFFF"/>
        </w:rPr>
        <w:t>雙頰或溢出</w:t>
      </w:r>
      <w:proofErr w:type="gramEnd"/>
      <w:r w:rsidRPr="007F6DD9">
        <w:rPr>
          <w:rFonts w:ascii="Times New Roman" w:eastAsia="標楷體" w:hAnsi="Times New Roman" w:hint="eastAsia"/>
          <w:sz w:val="28"/>
          <w:szCs w:val="28"/>
          <w:shd w:val="clear" w:color="auto" w:fill="FFFFFF"/>
        </w:rPr>
        <w:t>，可能使食物誤入氣管引發嗆咳，嚴重時出現喉部肌肉不自主收縮，乃至無法吞嚥的情形產生。</w:t>
      </w:r>
    </w:p>
    <w:p w14:paraId="00B20203" w14:textId="77777777" w:rsidR="00F74ED5" w:rsidRPr="002A31CA" w:rsidRDefault="00F74ED5" w:rsidP="0028753B">
      <w:pPr>
        <w:widowControl/>
        <w:numPr>
          <w:ilvl w:val="0"/>
          <w:numId w:val="27"/>
        </w:numPr>
        <w:adjustRightInd w:val="0"/>
        <w:snapToGrid w:val="0"/>
        <w:spacing w:line="240" w:lineRule="atLeast"/>
        <w:ind w:leftChars="-60" w:left="282" w:rightChars="-118" w:right="-283" w:hangingChars="152" w:hanging="426"/>
        <w:jc w:val="both"/>
        <w:rPr>
          <w:rFonts w:ascii="Times New Roman" w:eastAsia="標楷體" w:hAnsi="Times New Roman"/>
          <w:sz w:val="28"/>
          <w:szCs w:val="28"/>
        </w:rPr>
      </w:pPr>
      <w:r w:rsidRPr="007F6DD9">
        <w:rPr>
          <w:rFonts w:ascii="Times New Roman" w:eastAsia="標楷體" w:hAnsi="Times New Roman" w:hint="eastAsia"/>
          <w:sz w:val="28"/>
          <w:szCs w:val="28"/>
          <w:shd w:val="clear" w:color="auto" w:fill="FFFFFF"/>
        </w:rPr>
        <w:t>C</w:t>
      </w:r>
      <w:r w:rsidRPr="002A31CA">
        <w:rPr>
          <w:rFonts w:ascii="Times New Roman" w:eastAsia="標楷體" w:hAnsi="Times New Roman" w:hint="eastAsia"/>
          <w:sz w:val="28"/>
          <w:szCs w:val="28"/>
        </w:rPr>
        <w:t>lozapine-</w:t>
      </w:r>
      <w:r w:rsidRPr="002A31CA">
        <w:rPr>
          <w:rFonts w:ascii="Times New Roman" w:eastAsia="標楷體" w:hAnsi="Times New Roman" w:hint="eastAsia"/>
          <w:sz w:val="28"/>
          <w:szCs w:val="28"/>
        </w:rPr>
        <w:t>非典型抗精神病藥物</w:t>
      </w:r>
      <w:r w:rsidRPr="002A31CA">
        <w:rPr>
          <w:rFonts w:ascii="Times New Roman" w:eastAsia="標楷體" w:hAnsi="Times New Roman" w:hint="eastAsia"/>
          <w:sz w:val="28"/>
          <w:szCs w:val="28"/>
        </w:rPr>
        <w:t>(Atypical antipsychotic drugs)</w:t>
      </w:r>
      <w:r w:rsidRPr="002A31CA">
        <w:rPr>
          <w:rFonts w:ascii="Times New Roman" w:eastAsia="標楷體" w:hAnsi="Times New Roman" w:hint="eastAsia"/>
          <w:sz w:val="28"/>
          <w:szCs w:val="28"/>
        </w:rPr>
        <w:t>，臨床上應用於治療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難治型精神分裂症</w:t>
      </w:r>
      <w:proofErr w:type="gramEnd"/>
      <w:r w:rsidRPr="002A31CA">
        <w:rPr>
          <w:rFonts w:ascii="Times New Roman" w:eastAsia="標楷體" w:hAnsi="Times New Roman" w:hint="eastAsia"/>
          <w:sz w:val="28"/>
          <w:szCs w:val="28"/>
        </w:rPr>
        <w:t>(refractory schizophrenia)</w:t>
      </w:r>
      <w:r w:rsidRPr="002A31CA">
        <w:rPr>
          <w:rFonts w:ascii="Times New Roman" w:eastAsia="標楷體" w:hAnsi="Times New Roman" w:hint="eastAsia"/>
          <w:sz w:val="28"/>
          <w:szCs w:val="28"/>
        </w:rPr>
        <w:t>。相較於第一代抗精神病藥物，</w:t>
      </w:r>
      <w:r w:rsidRPr="002A31CA">
        <w:rPr>
          <w:rFonts w:ascii="Times New Roman" w:eastAsia="標楷體" w:hAnsi="Times New Roman" w:hint="eastAsia"/>
          <w:sz w:val="28"/>
          <w:szCs w:val="28"/>
        </w:rPr>
        <w:t>Clozapine</w:t>
      </w:r>
      <w:r w:rsidRPr="002A31CA">
        <w:rPr>
          <w:rFonts w:ascii="Times New Roman" w:eastAsia="標楷體" w:hAnsi="Times New Roman" w:hint="eastAsia"/>
          <w:sz w:val="28"/>
          <w:szCs w:val="28"/>
        </w:rPr>
        <w:t>的錐體外症狀</w:t>
      </w:r>
      <w:r w:rsidRPr="002A31CA">
        <w:rPr>
          <w:rFonts w:ascii="Times New Roman" w:eastAsia="標楷體" w:hAnsi="Times New Roman" w:hint="eastAsia"/>
          <w:sz w:val="28"/>
          <w:szCs w:val="28"/>
        </w:rPr>
        <w:t>(EPS)</w:t>
      </w:r>
      <w:r w:rsidRPr="002A31CA">
        <w:rPr>
          <w:rFonts w:ascii="Times New Roman" w:eastAsia="標楷體" w:hAnsi="Times New Roman" w:hint="eastAsia"/>
          <w:sz w:val="28"/>
          <w:szCs w:val="28"/>
        </w:rPr>
        <w:t>較少，在臨床上較常見的副作用為口水外流。根據</w:t>
      </w:r>
      <w:r w:rsidRPr="002A31CA">
        <w:rPr>
          <w:rFonts w:ascii="Times New Roman" w:eastAsia="標楷體" w:hAnsi="Times New Roman" w:hint="eastAsia"/>
          <w:sz w:val="28"/>
          <w:szCs w:val="28"/>
        </w:rPr>
        <w:t>Praharaj</w:t>
      </w:r>
      <w:r w:rsidRPr="002A31CA">
        <w:rPr>
          <w:rFonts w:ascii="Times New Roman" w:eastAsia="標楷體" w:hAnsi="Times New Roman" w:hint="eastAsia"/>
          <w:sz w:val="28"/>
          <w:szCs w:val="28"/>
        </w:rPr>
        <w:t>等人的研究，發現經</w:t>
      </w:r>
      <w:r w:rsidRPr="002A31CA">
        <w:rPr>
          <w:rFonts w:ascii="Times New Roman" w:eastAsia="標楷體" w:hAnsi="Times New Roman" w:hint="eastAsia"/>
          <w:sz w:val="28"/>
          <w:szCs w:val="28"/>
        </w:rPr>
        <w:t>Clozapine</w:t>
      </w:r>
      <w:r w:rsidRPr="002A31CA">
        <w:rPr>
          <w:rFonts w:ascii="Times New Roman" w:eastAsia="標楷體" w:hAnsi="Times New Roman" w:hint="eastAsia"/>
          <w:sz w:val="28"/>
          <w:szCs w:val="28"/>
        </w:rPr>
        <w:t>藥物治療的病人，約有</w:t>
      </w:r>
      <w:r w:rsidRPr="002A31CA">
        <w:rPr>
          <w:rFonts w:ascii="Times New Roman" w:eastAsia="標楷體" w:hAnsi="Times New Roman" w:hint="eastAsia"/>
          <w:sz w:val="28"/>
          <w:szCs w:val="28"/>
        </w:rPr>
        <w:t>30%</w:t>
      </w:r>
      <w:r w:rsidRPr="002A31CA">
        <w:rPr>
          <w:rFonts w:ascii="Times New Roman" w:eastAsia="標楷體" w:hAnsi="Times New Roman" w:hint="eastAsia"/>
          <w:sz w:val="28"/>
          <w:szCs w:val="28"/>
        </w:rPr>
        <w:t>的個案有流口水</w:t>
      </w:r>
      <w:r w:rsidRPr="002A31CA">
        <w:rPr>
          <w:rFonts w:ascii="Times New Roman" w:eastAsia="標楷體" w:hAnsi="Times New Roman" w:hint="eastAsia"/>
          <w:sz w:val="28"/>
          <w:szCs w:val="28"/>
        </w:rPr>
        <w:t>(Clozapine induced sialorrhea</w:t>
      </w:r>
      <w:r w:rsidRPr="002A31CA">
        <w:rPr>
          <w:rFonts w:ascii="Times New Roman" w:eastAsia="標楷體" w:hAnsi="Times New Roman" w:hint="eastAsia"/>
          <w:sz w:val="28"/>
          <w:szCs w:val="28"/>
        </w:rPr>
        <w:t>，</w:t>
      </w:r>
      <w:r w:rsidRPr="002A31CA">
        <w:rPr>
          <w:rFonts w:ascii="Times New Roman" w:eastAsia="標楷體" w:hAnsi="Times New Roman" w:hint="eastAsia"/>
          <w:sz w:val="28"/>
          <w:szCs w:val="28"/>
        </w:rPr>
        <w:t>CIS)</w:t>
      </w:r>
      <w:r w:rsidRPr="002A31CA">
        <w:rPr>
          <w:rFonts w:ascii="Times New Roman" w:eastAsia="標楷體" w:hAnsi="Times New Roman" w:hint="eastAsia"/>
          <w:sz w:val="28"/>
          <w:szCs w:val="28"/>
        </w:rPr>
        <w:t>症狀。</w:t>
      </w:r>
    </w:p>
    <w:p w14:paraId="4803D9BF" w14:textId="5EFEE68F" w:rsidR="00F74ED5" w:rsidRPr="002A31CA" w:rsidRDefault="00F74ED5" w:rsidP="0028753B">
      <w:pPr>
        <w:widowControl/>
        <w:numPr>
          <w:ilvl w:val="0"/>
          <w:numId w:val="27"/>
        </w:numPr>
        <w:adjustRightInd w:val="0"/>
        <w:snapToGrid w:val="0"/>
        <w:spacing w:line="240" w:lineRule="atLeast"/>
        <w:ind w:leftChars="-60" w:left="282" w:rightChars="-118" w:right="-283" w:hangingChars="152" w:hanging="426"/>
        <w:jc w:val="both"/>
        <w:rPr>
          <w:rFonts w:ascii="Times New Roman" w:eastAsia="標楷體" w:hAnsi="Times New Roman"/>
          <w:sz w:val="28"/>
          <w:szCs w:val="28"/>
        </w:rPr>
      </w:pPr>
      <w:r w:rsidRPr="002A31CA">
        <w:rPr>
          <w:rFonts w:ascii="Times New Roman" w:eastAsia="標楷體" w:hAnsi="Times New Roman" w:hint="eastAsia"/>
          <w:sz w:val="28"/>
          <w:szCs w:val="28"/>
        </w:rPr>
        <w:t>早期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癲</w:t>
      </w:r>
      <w:proofErr w:type="gramEnd"/>
      <w:r w:rsidRPr="002A31CA">
        <w:rPr>
          <w:rFonts w:ascii="Times New Roman" w:eastAsia="標楷體" w:hAnsi="Times New Roman" w:hint="eastAsia"/>
          <w:sz w:val="28"/>
          <w:szCs w:val="28"/>
        </w:rPr>
        <w:t>通</w:t>
      </w:r>
      <w:r>
        <w:rPr>
          <w:rFonts w:ascii="Times New Roman" w:eastAsia="標楷體" w:hAnsi="Times New Roman" w:hint="eastAsia"/>
          <w:sz w:val="28"/>
          <w:szCs w:val="28"/>
        </w:rPr>
        <w:t>(</w:t>
      </w:r>
      <w:r w:rsidRPr="002A31CA">
        <w:rPr>
          <w:rFonts w:ascii="Times New Roman" w:eastAsia="標楷體" w:hAnsi="Times New Roman" w:hint="eastAsia"/>
          <w:sz w:val="28"/>
          <w:szCs w:val="28"/>
        </w:rPr>
        <w:t>Tegretol</w:t>
      </w:r>
      <w:r>
        <w:rPr>
          <w:rFonts w:ascii="Times New Roman" w:eastAsia="標楷體" w:hAnsi="Times New Roman" w:hint="eastAsia"/>
          <w:sz w:val="28"/>
          <w:szCs w:val="28"/>
        </w:rPr>
        <w:t>)</w:t>
      </w:r>
      <w:r w:rsidRPr="002A31CA">
        <w:rPr>
          <w:rFonts w:ascii="Times New Roman" w:eastAsia="標楷體" w:hAnsi="Times New Roman" w:hint="eastAsia"/>
          <w:sz w:val="28"/>
          <w:szCs w:val="28"/>
        </w:rPr>
        <w:t>與帝拔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癲</w:t>
      </w:r>
      <w:proofErr w:type="gramEnd"/>
      <w:r>
        <w:rPr>
          <w:rFonts w:ascii="Times New Roman" w:eastAsia="標楷體" w:hAnsi="Times New Roman" w:hint="eastAsia"/>
          <w:sz w:val="28"/>
          <w:szCs w:val="28"/>
        </w:rPr>
        <w:t>(</w:t>
      </w:r>
      <w:proofErr w:type="spellStart"/>
      <w:r w:rsidRPr="002A31CA">
        <w:rPr>
          <w:rFonts w:ascii="Times New Roman" w:eastAsia="標楷體" w:hAnsi="Times New Roman" w:hint="eastAsia"/>
          <w:sz w:val="28"/>
          <w:szCs w:val="28"/>
        </w:rPr>
        <w:t>Depakine</w:t>
      </w:r>
      <w:proofErr w:type="spellEnd"/>
      <w:r>
        <w:rPr>
          <w:rFonts w:ascii="Times New Roman" w:eastAsia="標楷體" w:hAnsi="Times New Roman" w:hint="eastAsia"/>
          <w:sz w:val="28"/>
          <w:szCs w:val="28"/>
        </w:rPr>
        <w:t>)</w:t>
      </w:r>
      <w:r w:rsidRPr="002A31CA">
        <w:rPr>
          <w:rFonts w:ascii="Times New Roman" w:eastAsia="標楷體" w:hAnsi="Times New Roman" w:hint="eastAsia"/>
          <w:sz w:val="28"/>
          <w:szCs w:val="28"/>
        </w:rPr>
        <w:t>主要用於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癲</w:t>
      </w:r>
      <w:proofErr w:type="gramEnd"/>
      <w:r w:rsidRPr="002A31CA">
        <w:rPr>
          <w:rFonts w:ascii="Times New Roman" w:eastAsia="標楷體" w:hAnsi="Times New Roman" w:hint="eastAsia"/>
          <w:sz w:val="28"/>
          <w:szCs w:val="28"/>
        </w:rPr>
        <w:t>症的治療，但後來</w:t>
      </w:r>
      <w:r>
        <w:rPr>
          <w:rFonts w:ascii="Times New Roman" w:eastAsia="標楷體" w:hAnsi="Times New Roman" w:hint="eastAsia"/>
          <w:sz w:val="28"/>
          <w:szCs w:val="28"/>
        </w:rPr>
        <w:t>(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1970</w:t>
      </w:r>
      <w:proofErr w:type="gramEnd"/>
      <w:r w:rsidRPr="002A31CA">
        <w:rPr>
          <w:rFonts w:ascii="Times New Roman" w:eastAsia="標楷體" w:hAnsi="Times New Roman" w:hint="eastAsia"/>
          <w:sz w:val="28"/>
          <w:szCs w:val="28"/>
        </w:rPr>
        <w:t>年代</w:t>
      </w:r>
      <w:r>
        <w:rPr>
          <w:rFonts w:ascii="Times New Roman" w:eastAsia="標楷體" w:hAnsi="Times New Roman" w:hint="eastAsia"/>
          <w:sz w:val="28"/>
          <w:szCs w:val="28"/>
        </w:rPr>
        <w:t>)</w:t>
      </w:r>
      <w:r w:rsidRPr="002A31CA">
        <w:rPr>
          <w:rFonts w:ascii="Times New Roman" w:eastAsia="標楷體" w:hAnsi="Times New Roman" w:hint="eastAsia"/>
          <w:sz w:val="28"/>
          <w:szCs w:val="28"/>
        </w:rPr>
        <w:t>發現對躁鬱症也有急性治療和預防效果。另外對於陣發性衝動控制不良或具攻擊傾向的病患也有療效。療效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與鋰鹽相近</w:t>
      </w:r>
      <w:proofErr w:type="gramEnd"/>
      <w:r w:rsidRPr="002A31CA">
        <w:rPr>
          <w:rFonts w:ascii="Times New Roman" w:eastAsia="標楷體" w:hAnsi="Times New Roman" w:hint="eastAsia"/>
          <w:sz w:val="28"/>
          <w:szCs w:val="28"/>
        </w:rPr>
        <w:t>，約有</w:t>
      </w:r>
      <w:r w:rsidRPr="002A31CA">
        <w:rPr>
          <w:rFonts w:ascii="Times New Roman" w:eastAsia="標楷體" w:hAnsi="Times New Roman" w:hint="eastAsia"/>
          <w:sz w:val="28"/>
          <w:szCs w:val="28"/>
        </w:rPr>
        <w:t>50%</w:t>
      </w:r>
      <w:r w:rsidRPr="002A31CA">
        <w:rPr>
          <w:rFonts w:ascii="Times New Roman" w:eastAsia="標楷體" w:hAnsi="Times New Roman" w:hint="eastAsia"/>
          <w:sz w:val="28"/>
          <w:szCs w:val="28"/>
        </w:rPr>
        <w:t>至</w:t>
      </w:r>
      <w:r w:rsidRPr="002A31CA">
        <w:rPr>
          <w:rFonts w:ascii="Times New Roman" w:eastAsia="標楷體" w:hAnsi="Times New Roman" w:hint="eastAsia"/>
          <w:sz w:val="28"/>
          <w:szCs w:val="28"/>
        </w:rPr>
        <w:t>70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﹪</w:t>
      </w:r>
      <w:proofErr w:type="gramEnd"/>
      <w:r w:rsidRPr="002A31CA">
        <w:rPr>
          <w:rFonts w:ascii="Times New Roman" w:eastAsia="標楷體" w:hAnsi="Times New Roman" w:hint="eastAsia"/>
          <w:sz w:val="28"/>
          <w:szCs w:val="28"/>
        </w:rPr>
        <w:t>的躁鬱症</w:t>
      </w:r>
      <w:r w:rsidR="00F70B11">
        <w:rPr>
          <w:rFonts w:ascii="Times New Roman" w:eastAsia="標楷體" w:hAnsi="Times New Roman" w:hint="eastAsia"/>
          <w:sz w:val="28"/>
          <w:szCs w:val="28"/>
        </w:rPr>
        <w:t>病人</w:t>
      </w:r>
      <w:r w:rsidRPr="002A31CA">
        <w:rPr>
          <w:rFonts w:ascii="Times New Roman" w:eastAsia="標楷體" w:hAnsi="Times New Roman" w:hint="eastAsia"/>
          <w:sz w:val="28"/>
          <w:szCs w:val="28"/>
        </w:rPr>
        <w:t>會有良好反應，尤其是那些有較特殊發作型式的人。它們產生療效的時間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比鋰鹽更</w:t>
      </w:r>
      <w:proofErr w:type="gramEnd"/>
      <w:r w:rsidRPr="002A31CA">
        <w:rPr>
          <w:rFonts w:ascii="Times New Roman" w:eastAsia="標楷體" w:hAnsi="Times New Roman" w:hint="eastAsia"/>
          <w:sz w:val="28"/>
          <w:szCs w:val="28"/>
        </w:rPr>
        <w:t>快，約在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一週</w:t>
      </w:r>
      <w:proofErr w:type="gramEnd"/>
      <w:r w:rsidRPr="002A31CA">
        <w:rPr>
          <w:rFonts w:ascii="Times New Roman" w:eastAsia="標楷體" w:hAnsi="Times New Roman" w:hint="eastAsia"/>
          <w:sz w:val="28"/>
          <w:szCs w:val="28"/>
        </w:rPr>
        <w:t>左右。長期服用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癲</w:t>
      </w:r>
      <w:proofErr w:type="gramEnd"/>
      <w:r w:rsidRPr="002A31CA">
        <w:rPr>
          <w:rFonts w:ascii="Times New Roman" w:eastAsia="標楷體" w:hAnsi="Times New Roman" w:hint="eastAsia"/>
          <w:sz w:val="28"/>
          <w:szCs w:val="28"/>
        </w:rPr>
        <w:t>通會影響白血球，少數人可能較易感冒或口腔潰瘍；而帝拔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癲</w:t>
      </w:r>
      <w:proofErr w:type="gramEnd"/>
      <w:r w:rsidRPr="002A31CA">
        <w:rPr>
          <w:rFonts w:ascii="Times New Roman" w:eastAsia="標楷體" w:hAnsi="Times New Roman" w:hint="eastAsia"/>
          <w:sz w:val="28"/>
          <w:szCs w:val="28"/>
        </w:rPr>
        <w:t>則因影響血小板凝集功能，要小心是否止血較慢。</w:t>
      </w:r>
    </w:p>
    <w:tbl>
      <w:tblPr>
        <w:tblW w:w="10281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048"/>
      </w:tblGrid>
      <w:tr w:rsidR="00F74ED5" w14:paraId="7A61B6EB" w14:textId="77777777" w:rsidTr="00755819">
        <w:trPr>
          <w:tblHeader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5581E" w14:textId="77777777" w:rsidR="00F74ED5" w:rsidRPr="00E80D7D" w:rsidRDefault="00F74ED5" w:rsidP="00F70B11">
            <w:pPr>
              <w:adjustRightInd w:val="0"/>
              <w:snapToGrid w:val="0"/>
              <w:spacing w:line="240" w:lineRule="atLeast"/>
              <w:ind w:rightChars="-45" w:right="-108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E80D7D">
              <w:rPr>
                <w:rFonts w:ascii="Times New Roman" w:eastAsia="標楷體" w:hAnsi="Times New Roman"/>
                <w:b/>
                <w:sz w:val="28"/>
                <w:szCs w:val="28"/>
              </w:rPr>
              <w:t>已確認</w:t>
            </w:r>
            <w:r w:rsidRPr="00E80D7D">
              <w:rPr>
                <w:rFonts w:ascii="Times New Roman" w:eastAsia="標楷體" w:hAnsi="Times New Roman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D25322" w14:textId="77777777" w:rsidR="00F74ED5" w:rsidRPr="00E80D7D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E80D7D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E80D7D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E80D7D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C3031" w14:textId="77777777" w:rsidR="00F74ED5" w:rsidRPr="00E80D7D" w:rsidRDefault="00F74ED5" w:rsidP="0028753B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E80D7D">
              <w:rPr>
                <w:rFonts w:ascii="Times New Roman" w:eastAsia="標楷體" w:hAnsi="Times New Roman"/>
                <w:b/>
                <w:sz w:val="28"/>
                <w:szCs w:val="28"/>
              </w:rPr>
              <w:t>注意事項</w:t>
            </w:r>
          </w:p>
        </w:tc>
      </w:tr>
      <w:tr w:rsidR="00F74ED5" w:rsidRPr="00F74ED5" w14:paraId="315F37E9" w14:textId="77777777" w:rsidTr="00755819"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33D99" w14:textId="77777777" w:rsidR="00F74ED5" w:rsidRPr="00F74ED5" w:rsidRDefault="00F74ED5" w:rsidP="00FE21FF">
            <w:pPr>
              <w:ind w:right="-1"/>
              <w:jc w:val="both"/>
              <w:rPr>
                <w:rFonts w:ascii="Times New Roman" w:eastAsia="標楷體" w:hAnsi="Times New Roman" w:cs="Times New Roman"/>
                <w:bCs/>
                <w:color w:val="0070C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8FE237" w14:textId="77777777" w:rsidR="00F74ED5" w:rsidRPr="0028753B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  <w:t>九、帕金森氏症</w:t>
            </w:r>
          </w:p>
          <w:p w14:paraId="017BC728" w14:textId="2C2803AE" w:rsidR="0028753B" w:rsidRPr="0028753B" w:rsidRDefault="0028753B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 w:cs="Times New Roman"/>
                <w:b/>
                <w:kern w:val="0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(</w:t>
            </w:r>
            <w:r w:rsidRPr="0028753B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備註：</w:t>
            </w:r>
            <w:r w:rsidRPr="0028753B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114</w:t>
            </w:r>
            <w:r w:rsidRPr="0028753B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年新增</w:t>
            </w:r>
            <w:r w:rsidRPr="0028753B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)</w:t>
            </w:r>
          </w:p>
        </w:tc>
        <w:tc>
          <w:tcPr>
            <w:tcW w:w="7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3E87B" w14:textId="77777777" w:rsidR="00F74ED5" w:rsidRPr="0028753B" w:rsidRDefault="00F74ED5" w:rsidP="0028753B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-32" w:right="-77" w:hanging="458"/>
              <w:jc w:val="both"/>
              <w:textAlignment w:val="bottom"/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查詢健保醫療資訊雲端查詢系統並詢問病人用藥</w:t>
            </w: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(</w:t>
            </w: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病史詢問</w:t>
            </w: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)</w:t>
            </w: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且記載於病歷。</w:t>
            </w:r>
          </w:p>
          <w:p w14:paraId="394A6AD6" w14:textId="77777777" w:rsidR="00F74ED5" w:rsidRPr="0028753B" w:rsidRDefault="00F74ED5" w:rsidP="0028753B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-32" w:right="-77" w:hanging="458"/>
              <w:jc w:val="both"/>
              <w:textAlignment w:val="bottom"/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告知病人使用藥物帶來的影響及相關風險。</w:t>
            </w:r>
          </w:p>
          <w:p w14:paraId="76F162E5" w14:textId="77777777" w:rsidR="00F74ED5" w:rsidRPr="0028753B" w:rsidRDefault="00F74ED5" w:rsidP="0028753B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-32" w:right="-77" w:hanging="458"/>
              <w:jc w:val="both"/>
              <w:textAlignment w:val="bottom"/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在接受牙科治療時牙醫需要注意以下幾點：</w:t>
            </w:r>
          </w:p>
          <w:p w14:paraId="256BF343" w14:textId="77777777" w:rsidR="00F74ED5" w:rsidRPr="0028753B" w:rsidRDefault="00F74ED5" w:rsidP="0028753B">
            <w:pPr>
              <w:autoSpaceDE w:val="0"/>
              <w:autoSpaceDN w:val="0"/>
              <w:adjustRightInd w:val="0"/>
              <w:snapToGrid w:val="0"/>
              <w:spacing w:line="400" w:lineRule="atLeast"/>
              <w:ind w:leftChars="200" w:left="816" w:rightChars="-32" w:right="-77" w:hangingChars="120" w:hanging="336"/>
              <w:jc w:val="both"/>
              <w:textAlignment w:val="bottom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(1)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牙科診療時間盡量短，</w:t>
            </w:r>
            <w:proofErr w:type="gramStart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約診時間</w:t>
            </w:r>
            <w:proofErr w:type="gramEnd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安排在早上。</w:t>
            </w:r>
          </w:p>
          <w:p w14:paraId="396025C9" w14:textId="2A8246CB" w:rsidR="00F74ED5" w:rsidRPr="0028753B" w:rsidRDefault="00F74ED5" w:rsidP="0028753B">
            <w:pPr>
              <w:autoSpaceDE w:val="0"/>
              <w:autoSpaceDN w:val="0"/>
              <w:adjustRightInd w:val="0"/>
              <w:snapToGrid w:val="0"/>
              <w:spacing w:line="400" w:lineRule="atLeast"/>
              <w:ind w:leftChars="200" w:left="816" w:rightChars="-32" w:right="-77" w:hangingChars="120" w:hanging="336"/>
              <w:jc w:val="both"/>
              <w:textAlignment w:val="bottom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(2)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姿勢性低血壓或體位性低血壓：可能由單胺氧化酶抑制劑與卡比多巴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-</w:t>
            </w:r>
            <w:proofErr w:type="gramStart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左旋多巴</w:t>
            </w:r>
            <w:proofErr w:type="gramEnd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(DHIVY)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的</w:t>
            </w:r>
            <w:proofErr w:type="gramStart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併</w:t>
            </w:r>
            <w:proofErr w:type="gramEnd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用所致，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lastRenderedPageBreak/>
              <w:t>當</w:t>
            </w:r>
            <w:r w:rsidR="00F70B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突然從牙科就診椅上站起時，可能會導致低血壓和增加跌倒風險，進行牙科治療時，應謹慎地讓帕金森氏症</w:t>
            </w:r>
            <w:r w:rsidR="00F70B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從就診椅上起身。</w:t>
            </w:r>
          </w:p>
          <w:p w14:paraId="38965EB2" w14:textId="2A7B5C6C" w:rsidR="00F74ED5" w:rsidRPr="0028753B" w:rsidRDefault="00F74ED5" w:rsidP="0028753B">
            <w:pPr>
              <w:autoSpaceDE w:val="0"/>
              <w:autoSpaceDN w:val="0"/>
              <w:adjustRightInd w:val="0"/>
              <w:snapToGrid w:val="0"/>
              <w:spacing w:line="400" w:lineRule="atLeast"/>
              <w:ind w:leftChars="200" w:left="816" w:rightChars="-32" w:right="-77" w:hangingChars="120" w:hanging="336"/>
              <w:jc w:val="both"/>
              <w:textAlignment w:val="bottom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(3)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若</w:t>
            </w:r>
            <w:r w:rsidR="00F70B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有步行或姿勢反射方面的障礙，當他在室內移動或是要坐上</w:t>
            </w:r>
            <w:proofErr w:type="gramStart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診療椅時</w:t>
            </w:r>
            <w:proofErr w:type="gramEnd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，必須注意他的腳部安全性。</w:t>
            </w:r>
          </w:p>
          <w:p w14:paraId="7BBBA1DC" w14:textId="0A793704" w:rsidR="00F74ED5" w:rsidRPr="0028753B" w:rsidRDefault="00F74ED5" w:rsidP="0028753B">
            <w:pPr>
              <w:autoSpaceDE w:val="0"/>
              <w:autoSpaceDN w:val="0"/>
              <w:adjustRightInd w:val="0"/>
              <w:snapToGrid w:val="0"/>
              <w:spacing w:line="400" w:lineRule="atLeast"/>
              <w:ind w:leftChars="200" w:left="816" w:rightChars="-32" w:right="-77" w:hangingChars="120" w:hanging="336"/>
              <w:jc w:val="both"/>
              <w:textAlignment w:val="bottom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(4)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若遇到有吞嚥障礙的</w:t>
            </w:r>
            <w:r w:rsidR="00E754FF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時，一開始就盡量讓</w:t>
            </w:r>
            <w:r w:rsidR="00E754FF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以坐姿方式來接受治療，減少</w:t>
            </w:r>
            <w:r w:rsidR="00F70B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proofErr w:type="gramStart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有噎到或</w:t>
            </w:r>
            <w:proofErr w:type="gramEnd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誤</w:t>
            </w:r>
            <w:proofErr w:type="gramStart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嚥</w:t>
            </w:r>
            <w:proofErr w:type="gramEnd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等情況。</w:t>
            </w:r>
          </w:p>
          <w:p w14:paraId="683D74E6" w14:textId="53A4FFB7" w:rsidR="00F74ED5" w:rsidRPr="0028753B" w:rsidRDefault="00F74ED5" w:rsidP="0028753B">
            <w:pPr>
              <w:autoSpaceDE w:val="0"/>
              <w:autoSpaceDN w:val="0"/>
              <w:adjustRightInd w:val="0"/>
              <w:snapToGrid w:val="0"/>
              <w:spacing w:line="400" w:lineRule="atLeast"/>
              <w:ind w:leftChars="200" w:left="816" w:rightChars="-32" w:right="-77" w:hangingChars="120" w:hanging="336"/>
              <w:jc w:val="both"/>
              <w:textAlignment w:val="bottom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(5)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有服用</w:t>
            </w:r>
            <w:proofErr w:type="gramStart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左旋多巴</w:t>
            </w:r>
            <w:proofErr w:type="gramEnd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的</w:t>
            </w:r>
            <w:r w:rsidR="00F70B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在接受含有腎上腺素的牙科麻藥注射時，可能會出現精神運動性躁動或症狀暫時加重，必要時宜以</w:t>
            </w:r>
            <w:proofErr w:type="gramStart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不</w:t>
            </w:r>
            <w:proofErr w:type="gramEnd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含有腎上腺素的牙科麻藥注射。</w:t>
            </w:r>
          </w:p>
          <w:p w14:paraId="18BA7EB0" w14:textId="5FD9C606" w:rsidR="00F74ED5" w:rsidRPr="0028753B" w:rsidRDefault="00F74ED5" w:rsidP="0028753B">
            <w:pPr>
              <w:autoSpaceDE w:val="0"/>
              <w:autoSpaceDN w:val="0"/>
              <w:adjustRightInd w:val="0"/>
              <w:snapToGrid w:val="0"/>
              <w:spacing w:line="400" w:lineRule="atLeast"/>
              <w:ind w:leftChars="200" w:left="816" w:rightChars="-32" w:right="-77" w:hangingChars="120" w:hanging="336"/>
              <w:jc w:val="both"/>
              <w:textAlignment w:val="bottom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(6)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味覺改變或口腔灼熱感：這是像卡比多巴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/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左</w:t>
            </w:r>
            <w:proofErr w:type="gramStart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旋多巴這</w:t>
            </w:r>
            <w:proofErr w:type="gramEnd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類藥物的常見副作用，在無牙</w:t>
            </w:r>
            <w:r w:rsidR="00F70B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身上尤為明顯，可以跟</w:t>
            </w:r>
            <w:r w:rsidR="00F70B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說明，讓</w:t>
            </w:r>
            <w:r w:rsidR="00F70B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放心，這與他們的假牙或牙科治療無關。</w:t>
            </w:r>
          </w:p>
          <w:p w14:paraId="459AE554" w14:textId="5151FD11" w:rsidR="00F74ED5" w:rsidRPr="0028753B" w:rsidRDefault="00F74ED5" w:rsidP="0028753B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623" w:rightChars="-32" w:right="-77" w:hanging="567"/>
              <w:jc w:val="both"/>
              <w:textAlignment w:val="bottom"/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帕金森氏症</w:t>
            </w:r>
            <w:r w:rsidR="00E754FF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因為臉部缺</w:t>
            </w: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乏表情變化</w:t>
            </w: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(</w:t>
            </w: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面具般容貌</w:t>
            </w: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)</w:t>
            </w: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，因此必須透過出聲詢問，或是監控生命跡象等方式來觀察</w:t>
            </w:r>
            <w:r w:rsidR="00F70B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狀況。</w:t>
            </w:r>
          </w:p>
          <w:p w14:paraId="625C949D" w14:textId="0F5E067E" w:rsidR="00F74ED5" w:rsidRPr="0028753B" w:rsidRDefault="00F74ED5" w:rsidP="0028753B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623" w:rightChars="-32" w:right="-77" w:hanging="567"/>
              <w:jc w:val="both"/>
              <w:textAlignment w:val="bottom"/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帕金森</w:t>
            </w:r>
            <w:r w:rsidR="00F70B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可能會因為運動障礙、顫抖與同時進行兩種動作等的協同動作出現障礙現象，導致其無法自行清潔口腔甚至無法配合臨床上的診療。</w:t>
            </w:r>
          </w:p>
          <w:p w14:paraId="14BE47B8" w14:textId="77777777" w:rsidR="00F74ED5" w:rsidRPr="0028753B" w:rsidRDefault="00F74ED5" w:rsidP="0028753B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623" w:rightChars="-32" w:right="-77" w:hanging="567"/>
              <w:jc w:val="both"/>
              <w:textAlignment w:val="bottom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醫療決策制定宜與病患、監護人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或家屬共同商討決定。</w:t>
            </w:r>
          </w:p>
          <w:p w14:paraId="62D21AE9" w14:textId="77777777" w:rsidR="00F74ED5" w:rsidRPr="0028753B" w:rsidRDefault="00F74ED5" w:rsidP="0028753B">
            <w:pPr>
              <w:numPr>
                <w:ilvl w:val="0"/>
                <w:numId w:val="31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623" w:rightChars="-32" w:right="-77" w:hanging="567"/>
              <w:jc w:val="both"/>
              <w:textAlignment w:val="bottom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若無法掌握</w:t>
            </w:r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病人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病程的狀況，在</w:t>
            </w:r>
            <w:proofErr w:type="gramStart"/>
            <w:r w:rsidRPr="0028753B">
              <w:rPr>
                <w:rFonts w:ascii="Times New Roman" w:eastAsia="標楷體" w:hAnsi="Times New Roman" w:cs="Times New Roman"/>
                <w:bCs/>
                <w:sz w:val="28"/>
                <w:szCs w:val="28"/>
              </w:rPr>
              <w:t>治療</w:t>
            </w:r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前宜照會</w:t>
            </w:r>
            <w:proofErr w:type="gramEnd"/>
            <w:r w:rsidRPr="0028753B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或轉診至其他相關單位做進一步診治。</w:t>
            </w:r>
          </w:p>
        </w:tc>
      </w:tr>
    </w:tbl>
    <w:p w14:paraId="2CF0A243" w14:textId="77777777" w:rsidR="00F74ED5" w:rsidRPr="0028753B" w:rsidRDefault="00F74ED5" w:rsidP="0028753B">
      <w:pPr>
        <w:widowControl/>
        <w:adjustRightInd w:val="0"/>
        <w:snapToGrid w:val="0"/>
        <w:spacing w:line="240" w:lineRule="atLeast"/>
        <w:ind w:leftChars="-236" w:left="425" w:rightChars="-118" w:right="-283" w:hangingChars="354" w:hanging="991"/>
        <w:jc w:val="both"/>
        <w:rPr>
          <w:rFonts w:ascii="Times New Roman" w:eastAsia="標楷體" w:hAnsi="Times New Roman" w:cs="Times New Roman"/>
          <w:bCs/>
          <w:sz w:val="28"/>
          <w:szCs w:val="28"/>
        </w:rPr>
      </w:pPr>
      <w:r w:rsidRPr="0028753B">
        <w:rPr>
          <w:rFonts w:ascii="Times New Roman" w:eastAsia="標楷體" w:hAnsi="Times New Roman" w:cs="Times New Roman"/>
          <w:bCs/>
          <w:sz w:val="28"/>
          <w:szCs w:val="28"/>
        </w:rPr>
        <w:t>【背景說明</w:t>
      </w:r>
      <w:r w:rsidRPr="0028753B">
        <w:rPr>
          <w:rFonts w:ascii="Times New Roman" w:eastAsia="標楷體" w:hAnsi="Times New Roman" w:cs="Times New Roman"/>
          <w:bCs/>
          <w:sz w:val="28"/>
          <w:szCs w:val="28"/>
        </w:rPr>
        <w:t>(</w:t>
      </w:r>
      <w:r w:rsidRPr="0028753B">
        <w:rPr>
          <w:rFonts w:ascii="Times New Roman" w:eastAsia="標楷體" w:hAnsi="Times New Roman" w:cs="Times New Roman"/>
          <w:bCs/>
          <w:sz w:val="28"/>
          <w:szCs w:val="28"/>
        </w:rPr>
        <w:t>參考事項</w:t>
      </w:r>
      <w:r w:rsidRPr="0028753B">
        <w:rPr>
          <w:rFonts w:ascii="Times New Roman" w:eastAsia="標楷體" w:hAnsi="Times New Roman" w:cs="Times New Roman"/>
          <w:bCs/>
          <w:sz w:val="28"/>
          <w:szCs w:val="28"/>
        </w:rPr>
        <w:t>)</w:t>
      </w:r>
      <w:r w:rsidRPr="0028753B">
        <w:rPr>
          <w:rFonts w:ascii="Times New Roman" w:eastAsia="標楷體" w:hAnsi="Times New Roman" w:cs="Times New Roman"/>
          <w:bCs/>
          <w:sz w:val="28"/>
          <w:szCs w:val="28"/>
        </w:rPr>
        <w:t>】</w:t>
      </w:r>
    </w:p>
    <w:p w14:paraId="268DBC28" w14:textId="77777777" w:rsidR="00F74ED5" w:rsidRPr="0028753B" w:rsidRDefault="00F74ED5" w:rsidP="0028753B">
      <w:pPr>
        <w:widowControl/>
        <w:numPr>
          <w:ilvl w:val="0"/>
          <w:numId w:val="32"/>
        </w:numPr>
        <w:adjustRightInd w:val="0"/>
        <w:snapToGrid w:val="0"/>
        <w:spacing w:line="240" w:lineRule="atLeast"/>
        <w:ind w:leftChars="-60" w:left="139" w:rightChars="-118" w:right="-283" w:hangingChars="101" w:hanging="283"/>
        <w:jc w:val="both"/>
        <w:rPr>
          <w:rFonts w:ascii="Times New Roman" w:eastAsia="標楷體" w:hAnsi="Times New Roman" w:cs="Times New Roman"/>
          <w:bCs/>
          <w:sz w:val="28"/>
          <w:szCs w:val="28"/>
        </w:rPr>
      </w:pPr>
      <w:r w:rsidRPr="0028753B">
        <w:rPr>
          <w:rFonts w:ascii="Times New Roman" w:eastAsia="標楷體" w:hAnsi="Times New Roman" w:cs="Times New Roman"/>
          <w:bCs/>
          <w:sz w:val="28"/>
          <w:szCs w:val="28"/>
        </w:rPr>
        <w:t>帕金森氏症</w:t>
      </w:r>
      <w:r w:rsidRPr="0028753B">
        <w:rPr>
          <w:rFonts w:ascii="Times New Roman" w:eastAsia="標楷體" w:hAnsi="Times New Roman" w:cs="Times New Roman"/>
          <w:bCs/>
          <w:sz w:val="28"/>
          <w:szCs w:val="28"/>
        </w:rPr>
        <w:t>(Parkinson's disease)</w:t>
      </w:r>
      <w:r w:rsidRPr="0028753B">
        <w:rPr>
          <w:rFonts w:ascii="Times New Roman" w:eastAsia="標楷體" w:hAnsi="Times New Roman" w:cs="Times New Roman"/>
          <w:bCs/>
          <w:sz w:val="28"/>
          <w:szCs w:val="28"/>
        </w:rPr>
        <w:t>是一種影響中樞神經系統的慢性及進行性神經退化疾病，其主要症狀和致病機轉如下：</w:t>
      </w:r>
    </w:p>
    <w:p w14:paraId="26781FE0" w14:textId="77777777" w:rsidR="00F74ED5" w:rsidRPr="0028753B" w:rsidRDefault="00F74ED5" w:rsidP="0028753B">
      <w:pPr>
        <w:widowControl/>
        <w:numPr>
          <w:ilvl w:val="0"/>
          <w:numId w:val="32"/>
        </w:numPr>
        <w:adjustRightInd w:val="0"/>
        <w:snapToGrid w:val="0"/>
        <w:spacing w:line="240" w:lineRule="atLeast"/>
        <w:ind w:leftChars="-60" w:left="139" w:rightChars="-118" w:right="-283" w:hangingChars="101" w:hanging="283"/>
        <w:jc w:val="both"/>
        <w:rPr>
          <w:rFonts w:ascii="Times New Roman" w:eastAsia="標楷體" w:hAnsi="Times New Roman" w:cs="Times New Roman"/>
          <w:bCs/>
          <w:sz w:val="28"/>
          <w:szCs w:val="28"/>
        </w:rPr>
      </w:pPr>
      <w:r w:rsidRPr="0028753B">
        <w:rPr>
          <w:rFonts w:ascii="Times New Roman" w:eastAsia="標楷體" w:hAnsi="Times New Roman" w:cs="Times New Roman"/>
          <w:bCs/>
          <w:sz w:val="28"/>
          <w:szCs w:val="28"/>
        </w:rPr>
        <w:t>主要症狀</w:t>
      </w:r>
    </w:p>
    <w:p w14:paraId="696BA9F1" w14:textId="77777777" w:rsidR="00F74ED5" w:rsidRPr="0028753B" w:rsidRDefault="00F74ED5" w:rsidP="0028753B">
      <w:pPr>
        <w:widowControl/>
        <w:numPr>
          <w:ilvl w:val="0"/>
          <w:numId w:val="37"/>
        </w:numPr>
        <w:adjustRightInd w:val="0"/>
        <w:snapToGrid w:val="0"/>
        <w:spacing w:line="240" w:lineRule="atLeast"/>
        <w:ind w:rightChars="-118" w:right="-283"/>
        <w:jc w:val="both"/>
        <w:rPr>
          <w:rFonts w:ascii="Times New Roman" w:eastAsia="標楷體" w:hAnsi="Times New Roman" w:cs="Times New Roman"/>
          <w:bCs/>
          <w:sz w:val="28"/>
          <w:szCs w:val="28"/>
        </w:rPr>
      </w:pPr>
      <w:r w:rsidRPr="0028753B">
        <w:rPr>
          <w:rFonts w:ascii="Times New Roman" w:eastAsia="標楷體" w:hAnsi="Times New Roman" w:cs="Times New Roman"/>
          <w:bCs/>
          <w:sz w:val="28"/>
          <w:szCs w:val="28"/>
        </w:rPr>
        <w:t>靜止性震顫：手指、手腕或下巴在靜止時不自主地顫動，是帕金森氏症的典型症狀之</w:t>
      </w:r>
      <w:proofErr w:type="gramStart"/>
      <w:r w:rsidRPr="0028753B">
        <w:rPr>
          <w:rFonts w:ascii="Times New Roman" w:eastAsia="標楷體" w:hAnsi="Times New Roman" w:cs="Times New Roman"/>
          <w:bCs/>
          <w:sz w:val="28"/>
          <w:szCs w:val="28"/>
        </w:rPr>
        <w:t>一</w:t>
      </w:r>
      <w:proofErr w:type="gramEnd"/>
      <w:r w:rsidRPr="0028753B">
        <w:rPr>
          <w:rFonts w:ascii="Times New Roman" w:eastAsia="標楷體" w:hAnsi="Times New Roman" w:cs="Times New Roman"/>
          <w:bCs/>
          <w:sz w:val="28"/>
          <w:szCs w:val="28"/>
        </w:rPr>
        <w:t>。</w:t>
      </w:r>
    </w:p>
    <w:p w14:paraId="62636D06" w14:textId="77777777" w:rsidR="00F74ED5" w:rsidRPr="0028753B" w:rsidRDefault="00F74ED5" w:rsidP="0028753B">
      <w:pPr>
        <w:widowControl/>
        <w:numPr>
          <w:ilvl w:val="0"/>
          <w:numId w:val="37"/>
        </w:numPr>
        <w:adjustRightInd w:val="0"/>
        <w:snapToGrid w:val="0"/>
        <w:spacing w:line="240" w:lineRule="atLeast"/>
        <w:ind w:rightChars="-118" w:right="-283"/>
        <w:jc w:val="both"/>
        <w:rPr>
          <w:rFonts w:ascii="Times New Roman" w:eastAsia="標楷體" w:hAnsi="Times New Roman"/>
          <w:bCs/>
          <w:sz w:val="28"/>
          <w:szCs w:val="28"/>
        </w:rPr>
      </w:pPr>
      <w:r w:rsidRPr="0028753B">
        <w:rPr>
          <w:rFonts w:ascii="Times New Roman" w:eastAsia="標楷體" w:hAnsi="Times New Roman"/>
          <w:bCs/>
          <w:sz w:val="28"/>
          <w:szCs w:val="28"/>
        </w:rPr>
        <w:t>動作遲緩</w:t>
      </w:r>
      <w:r w:rsidRPr="0028753B">
        <w:rPr>
          <w:rFonts w:ascii="Times New Roman" w:eastAsia="標楷體" w:hAnsi="Times New Roman"/>
          <w:bCs/>
          <w:sz w:val="28"/>
          <w:szCs w:val="28"/>
        </w:rPr>
        <w:t>(</w:t>
      </w:r>
      <w:r w:rsidRPr="0028753B">
        <w:rPr>
          <w:rFonts w:ascii="Times New Roman" w:eastAsia="標楷體" w:hAnsi="Times New Roman"/>
          <w:bCs/>
          <w:sz w:val="28"/>
          <w:szCs w:val="28"/>
        </w:rPr>
        <w:t>運動遲緩</w:t>
      </w:r>
      <w:r w:rsidRPr="0028753B">
        <w:rPr>
          <w:rFonts w:ascii="Times New Roman" w:eastAsia="標楷體" w:hAnsi="Times New Roman"/>
          <w:bCs/>
          <w:sz w:val="28"/>
          <w:szCs w:val="28"/>
        </w:rPr>
        <w:t>)</w:t>
      </w:r>
      <w:r w:rsidRPr="0028753B">
        <w:rPr>
          <w:rFonts w:ascii="Times New Roman" w:eastAsia="標楷體" w:hAnsi="Times New Roman"/>
          <w:bCs/>
          <w:sz w:val="28"/>
          <w:szCs w:val="28"/>
        </w:rPr>
        <w:t>：病人的動作變得緩慢，並且開始動作時需要更多的時間，這一症狀被稱為「運動遲緩」或「動作緩慢」</w:t>
      </w:r>
      <w:r w:rsidRPr="0028753B">
        <w:rPr>
          <w:rFonts w:ascii="Times New Roman" w:eastAsia="標楷體" w:hAnsi="Times New Roman"/>
          <w:bCs/>
          <w:sz w:val="28"/>
          <w:szCs w:val="28"/>
        </w:rPr>
        <w:t>(Bradykinesia)</w:t>
      </w:r>
      <w:r w:rsidRPr="0028753B">
        <w:rPr>
          <w:rFonts w:ascii="Times New Roman" w:eastAsia="標楷體" w:hAnsi="Times New Roman"/>
          <w:bCs/>
          <w:sz w:val="28"/>
          <w:szCs w:val="28"/>
        </w:rPr>
        <w:t>。</w:t>
      </w:r>
    </w:p>
    <w:p w14:paraId="1B5A5D4B" w14:textId="77777777" w:rsidR="00F74ED5" w:rsidRPr="0028753B" w:rsidRDefault="00F74ED5" w:rsidP="0028753B">
      <w:pPr>
        <w:widowControl/>
        <w:numPr>
          <w:ilvl w:val="0"/>
          <w:numId w:val="37"/>
        </w:numPr>
        <w:adjustRightInd w:val="0"/>
        <w:snapToGrid w:val="0"/>
        <w:spacing w:line="240" w:lineRule="atLeast"/>
        <w:ind w:rightChars="-118" w:right="-283"/>
        <w:jc w:val="both"/>
        <w:rPr>
          <w:rFonts w:ascii="Times New Roman" w:eastAsia="標楷體" w:hAnsi="Times New Roman"/>
          <w:bCs/>
          <w:sz w:val="28"/>
          <w:szCs w:val="28"/>
        </w:rPr>
      </w:pPr>
      <w:r w:rsidRPr="0028753B">
        <w:rPr>
          <w:rFonts w:ascii="Times New Roman" w:eastAsia="標楷體" w:hAnsi="Times New Roman"/>
          <w:bCs/>
          <w:sz w:val="28"/>
          <w:szCs w:val="28"/>
        </w:rPr>
        <w:lastRenderedPageBreak/>
        <w:t>肌肉僵硬：肌肉的僵硬和不靈活感，特別是在四肢和頸部，這種症狀會導致活動</w:t>
      </w:r>
      <w:proofErr w:type="gramStart"/>
      <w:r w:rsidRPr="0028753B">
        <w:rPr>
          <w:rFonts w:ascii="Times New Roman" w:eastAsia="標楷體" w:hAnsi="Times New Roman"/>
          <w:bCs/>
          <w:sz w:val="28"/>
          <w:szCs w:val="28"/>
        </w:rPr>
        <w:t>受限和疼痛</w:t>
      </w:r>
      <w:proofErr w:type="gramEnd"/>
      <w:r w:rsidRPr="0028753B">
        <w:rPr>
          <w:rFonts w:ascii="Times New Roman" w:eastAsia="標楷體" w:hAnsi="Times New Roman"/>
          <w:bCs/>
          <w:sz w:val="28"/>
          <w:szCs w:val="28"/>
        </w:rPr>
        <w:t>。</w:t>
      </w:r>
    </w:p>
    <w:p w14:paraId="74B9BF1D" w14:textId="77777777" w:rsidR="00F74ED5" w:rsidRPr="0028753B" w:rsidRDefault="00F74ED5" w:rsidP="0028753B">
      <w:pPr>
        <w:widowControl/>
        <w:numPr>
          <w:ilvl w:val="0"/>
          <w:numId w:val="37"/>
        </w:numPr>
        <w:adjustRightInd w:val="0"/>
        <w:snapToGrid w:val="0"/>
        <w:spacing w:line="240" w:lineRule="atLeast"/>
        <w:ind w:rightChars="-118" w:right="-283"/>
        <w:jc w:val="both"/>
        <w:rPr>
          <w:rFonts w:ascii="Times New Roman" w:eastAsia="標楷體" w:hAnsi="Times New Roman"/>
          <w:bCs/>
          <w:sz w:val="28"/>
          <w:szCs w:val="28"/>
        </w:rPr>
      </w:pPr>
      <w:r w:rsidRPr="0028753B">
        <w:rPr>
          <w:rFonts w:ascii="Times New Roman" w:eastAsia="標楷體" w:hAnsi="Times New Roman"/>
          <w:bCs/>
          <w:sz w:val="28"/>
          <w:szCs w:val="28"/>
        </w:rPr>
        <w:t>姿勢</w:t>
      </w:r>
      <w:proofErr w:type="gramStart"/>
      <w:r w:rsidRPr="0028753B">
        <w:rPr>
          <w:rFonts w:ascii="Times New Roman" w:eastAsia="標楷體" w:hAnsi="Times New Roman"/>
          <w:bCs/>
          <w:sz w:val="28"/>
          <w:szCs w:val="28"/>
        </w:rPr>
        <w:t>不穩和步</w:t>
      </w:r>
      <w:proofErr w:type="gramEnd"/>
      <w:r w:rsidRPr="0028753B">
        <w:rPr>
          <w:rFonts w:ascii="Times New Roman" w:eastAsia="標楷體" w:hAnsi="Times New Roman"/>
          <w:bCs/>
          <w:sz w:val="28"/>
          <w:szCs w:val="28"/>
        </w:rPr>
        <w:t>態異常：平衡和協調能力受損，可能導致姿勢</w:t>
      </w:r>
      <w:proofErr w:type="gramStart"/>
      <w:r w:rsidRPr="0028753B">
        <w:rPr>
          <w:rFonts w:ascii="Times New Roman" w:eastAsia="標楷體" w:hAnsi="Times New Roman"/>
          <w:bCs/>
          <w:sz w:val="28"/>
          <w:szCs w:val="28"/>
        </w:rPr>
        <w:t>不穩和行走</w:t>
      </w:r>
      <w:proofErr w:type="gramEnd"/>
      <w:r w:rsidRPr="0028753B">
        <w:rPr>
          <w:rFonts w:ascii="Times New Roman" w:eastAsia="標楷體" w:hAnsi="Times New Roman"/>
          <w:bCs/>
          <w:sz w:val="28"/>
          <w:szCs w:val="28"/>
        </w:rPr>
        <w:t>困難。病人可能會有「小步走」</w:t>
      </w:r>
      <w:r w:rsidRPr="0028753B">
        <w:rPr>
          <w:rFonts w:ascii="Times New Roman" w:eastAsia="標楷體" w:hAnsi="Times New Roman"/>
          <w:bCs/>
          <w:sz w:val="28"/>
          <w:szCs w:val="28"/>
        </w:rPr>
        <w:t>(shuffling gait)</w:t>
      </w:r>
      <w:r w:rsidRPr="0028753B">
        <w:rPr>
          <w:rFonts w:ascii="Times New Roman" w:eastAsia="標楷體" w:hAnsi="Times New Roman"/>
          <w:bCs/>
          <w:sz w:val="28"/>
          <w:szCs w:val="28"/>
        </w:rPr>
        <w:t>或「凍結步態」</w:t>
      </w:r>
      <w:r w:rsidRPr="0028753B">
        <w:rPr>
          <w:rFonts w:ascii="Times New Roman" w:eastAsia="標楷體" w:hAnsi="Times New Roman"/>
          <w:bCs/>
          <w:sz w:val="28"/>
          <w:szCs w:val="28"/>
        </w:rPr>
        <w:t>(freezing of gait)</w:t>
      </w:r>
      <w:r w:rsidRPr="0028753B">
        <w:rPr>
          <w:rFonts w:ascii="Times New Roman" w:eastAsia="標楷體" w:hAnsi="Times New Roman"/>
          <w:bCs/>
          <w:sz w:val="28"/>
          <w:szCs w:val="28"/>
        </w:rPr>
        <w:t>。</w:t>
      </w:r>
    </w:p>
    <w:p w14:paraId="14E5B692" w14:textId="77777777" w:rsidR="00F74ED5" w:rsidRPr="0028753B" w:rsidRDefault="00F74ED5" w:rsidP="0028753B">
      <w:pPr>
        <w:widowControl/>
        <w:numPr>
          <w:ilvl w:val="0"/>
          <w:numId w:val="37"/>
        </w:numPr>
        <w:adjustRightInd w:val="0"/>
        <w:snapToGrid w:val="0"/>
        <w:spacing w:line="240" w:lineRule="atLeast"/>
        <w:ind w:rightChars="-118" w:right="-283"/>
        <w:jc w:val="both"/>
        <w:rPr>
          <w:rFonts w:ascii="Times New Roman" w:eastAsia="標楷體" w:hAnsi="Times New Roman"/>
          <w:bCs/>
          <w:sz w:val="28"/>
          <w:szCs w:val="28"/>
        </w:rPr>
      </w:pPr>
      <w:r w:rsidRPr="0028753B">
        <w:rPr>
          <w:rFonts w:ascii="Times New Roman" w:eastAsia="標楷體" w:hAnsi="Times New Roman"/>
          <w:bCs/>
          <w:sz w:val="28"/>
          <w:szCs w:val="28"/>
        </w:rPr>
        <w:t>面部表情減少：面部表情減少或變得呆板，被稱為「面具樣表情」</w:t>
      </w:r>
      <w:r w:rsidRPr="0028753B">
        <w:rPr>
          <w:rFonts w:ascii="Times New Roman" w:eastAsia="標楷體" w:hAnsi="Times New Roman"/>
          <w:bCs/>
          <w:sz w:val="28"/>
          <w:szCs w:val="28"/>
        </w:rPr>
        <w:t>(masked face)</w:t>
      </w:r>
      <w:r w:rsidRPr="0028753B">
        <w:rPr>
          <w:rFonts w:ascii="Times New Roman" w:eastAsia="標楷體" w:hAnsi="Times New Roman"/>
          <w:bCs/>
          <w:sz w:val="28"/>
          <w:szCs w:val="28"/>
        </w:rPr>
        <w:t>。</w:t>
      </w:r>
    </w:p>
    <w:p w14:paraId="4B99BC68" w14:textId="77777777" w:rsidR="00F74ED5" w:rsidRPr="0028753B" w:rsidRDefault="00F74ED5" w:rsidP="0028753B">
      <w:pPr>
        <w:widowControl/>
        <w:numPr>
          <w:ilvl w:val="0"/>
          <w:numId w:val="37"/>
        </w:numPr>
        <w:adjustRightInd w:val="0"/>
        <w:snapToGrid w:val="0"/>
        <w:spacing w:line="240" w:lineRule="atLeast"/>
        <w:ind w:rightChars="-118" w:right="-283"/>
        <w:jc w:val="both"/>
        <w:rPr>
          <w:rFonts w:ascii="Times New Roman" w:eastAsia="標楷體" w:hAnsi="Times New Roman"/>
          <w:bCs/>
          <w:sz w:val="28"/>
          <w:szCs w:val="28"/>
        </w:rPr>
      </w:pPr>
      <w:r w:rsidRPr="0028753B">
        <w:rPr>
          <w:rFonts w:ascii="Times New Roman" w:eastAsia="標楷體" w:hAnsi="Times New Roman"/>
          <w:bCs/>
          <w:sz w:val="28"/>
          <w:szCs w:val="28"/>
        </w:rPr>
        <w:t>自主神經功能異常：如便秘、尿失禁、低血壓和多汗等。</w:t>
      </w:r>
    </w:p>
    <w:p w14:paraId="63DDB28D" w14:textId="77777777" w:rsidR="00F74ED5" w:rsidRPr="0028753B" w:rsidRDefault="00F74ED5" w:rsidP="0028753B">
      <w:pPr>
        <w:widowControl/>
        <w:numPr>
          <w:ilvl w:val="0"/>
          <w:numId w:val="37"/>
        </w:numPr>
        <w:adjustRightInd w:val="0"/>
        <w:snapToGrid w:val="0"/>
        <w:spacing w:line="240" w:lineRule="atLeast"/>
        <w:ind w:rightChars="-118" w:right="-283"/>
        <w:jc w:val="both"/>
        <w:rPr>
          <w:rFonts w:ascii="Times New Roman" w:eastAsia="標楷體" w:hAnsi="Times New Roman"/>
          <w:bCs/>
          <w:sz w:val="28"/>
          <w:szCs w:val="28"/>
        </w:rPr>
      </w:pPr>
      <w:r w:rsidRPr="0028753B">
        <w:rPr>
          <w:rFonts w:ascii="Times New Roman" w:eastAsia="標楷體" w:hAnsi="Times New Roman"/>
          <w:bCs/>
          <w:sz w:val="28"/>
          <w:szCs w:val="28"/>
        </w:rPr>
        <w:t>睡眠障礙：包括失眠、快速眼動睡眠行為障礙</w:t>
      </w:r>
      <w:r w:rsidRPr="0028753B">
        <w:rPr>
          <w:rFonts w:ascii="Times New Roman" w:eastAsia="標楷體" w:hAnsi="Times New Roman"/>
          <w:bCs/>
          <w:sz w:val="28"/>
          <w:szCs w:val="28"/>
        </w:rPr>
        <w:t>(REM sleep behavior disorder)</w:t>
      </w:r>
      <w:r w:rsidRPr="0028753B">
        <w:rPr>
          <w:rFonts w:ascii="Times New Roman" w:eastAsia="標楷體" w:hAnsi="Times New Roman"/>
          <w:bCs/>
          <w:sz w:val="28"/>
          <w:szCs w:val="28"/>
        </w:rPr>
        <w:t>等。</w:t>
      </w:r>
    </w:p>
    <w:p w14:paraId="4B17C415" w14:textId="77777777" w:rsidR="00F74ED5" w:rsidRPr="0028753B" w:rsidRDefault="00F74ED5" w:rsidP="0028753B">
      <w:pPr>
        <w:widowControl/>
        <w:numPr>
          <w:ilvl w:val="0"/>
          <w:numId w:val="37"/>
        </w:numPr>
        <w:adjustRightInd w:val="0"/>
        <w:snapToGrid w:val="0"/>
        <w:spacing w:line="240" w:lineRule="atLeast"/>
        <w:ind w:rightChars="-118" w:right="-283"/>
        <w:jc w:val="both"/>
        <w:rPr>
          <w:rFonts w:ascii="Times New Roman" w:eastAsia="標楷體" w:hAnsi="Times New Roman"/>
          <w:bCs/>
          <w:sz w:val="28"/>
          <w:szCs w:val="28"/>
        </w:rPr>
      </w:pPr>
      <w:r w:rsidRPr="0028753B">
        <w:rPr>
          <w:rFonts w:ascii="Times New Roman" w:eastAsia="標楷體" w:hAnsi="Times New Roman"/>
          <w:bCs/>
          <w:sz w:val="28"/>
          <w:szCs w:val="28"/>
        </w:rPr>
        <w:t>精神症狀：如抑鬱、焦慮和認知功能障礙，包括記憶力下降和注意力集中困難。</w:t>
      </w:r>
    </w:p>
    <w:p w14:paraId="69CA32F1" w14:textId="77777777" w:rsidR="00F74ED5" w:rsidRPr="0028753B" w:rsidRDefault="00F74ED5" w:rsidP="0028753B">
      <w:pPr>
        <w:widowControl/>
        <w:numPr>
          <w:ilvl w:val="0"/>
          <w:numId w:val="32"/>
        </w:numPr>
        <w:adjustRightInd w:val="0"/>
        <w:snapToGrid w:val="0"/>
        <w:spacing w:line="240" w:lineRule="atLeast"/>
        <w:ind w:leftChars="-60" w:left="139" w:rightChars="-118" w:right="-283" w:hangingChars="101" w:hanging="283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/>
          <w:sz w:val="28"/>
          <w:szCs w:val="28"/>
        </w:rPr>
        <w:t>補充說明</w:t>
      </w:r>
      <w:r w:rsidRPr="0028753B">
        <w:rPr>
          <w:rFonts w:ascii="Times New Roman" w:eastAsia="標楷體" w:hAnsi="Times New Roman"/>
          <w:sz w:val="28"/>
          <w:szCs w:val="28"/>
        </w:rPr>
        <w:t>-</w:t>
      </w:r>
      <w:r w:rsidRPr="0028753B">
        <w:rPr>
          <w:rFonts w:ascii="Times New Roman" w:eastAsia="標楷體" w:hAnsi="Times New Roman"/>
          <w:sz w:val="28"/>
          <w:szCs w:val="28"/>
        </w:rPr>
        <w:t>帕金森症候群</w:t>
      </w:r>
      <w:r w:rsidRPr="0028753B">
        <w:rPr>
          <w:rFonts w:ascii="Times New Roman" w:eastAsia="標楷體" w:hAnsi="Times New Roman"/>
          <w:sz w:val="28"/>
          <w:szCs w:val="28"/>
        </w:rPr>
        <w:t>(Parkinsonism)</w:t>
      </w:r>
      <w:r w:rsidRPr="0028753B">
        <w:rPr>
          <w:rFonts w:ascii="Times New Roman" w:eastAsia="標楷體" w:hAnsi="Times New Roman"/>
          <w:sz w:val="28"/>
          <w:szCs w:val="28"/>
        </w:rPr>
        <w:t>是指一組具有帕金森氏症類似症狀的疾病或狀況。它包含了帕金森氏症和其他具類似症狀的神經系統疾病。</w:t>
      </w:r>
    </w:p>
    <w:p w14:paraId="0D11352D" w14:textId="77777777" w:rsidR="00F74ED5" w:rsidRPr="0028753B" w:rsidRDefault="00F74ED5" w:rsidP="0028753B">
      <w:pPr>
        <w:widowControl/>
        <w:numPr>
          <w:ilvl w:val="0"/>
          <w:numId w:val="32"/>
        </w:numPr>
        <w:adjustRightInd w:val="0"/>
        <w:snapToGrid w:val="0"/>
        <w:spacing w:line="240" w:lineRule="atLeast"/>
        <w:ind w:leftChars="-60" w:left="139" w:rightChars="-118" w:right="-283" w:hangingChars="101" w:hanging="283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 w:hint="eastAsia"/>
          <w:sz w:val="28"/>
          <w:szCs w:val="28"/>
        </w:rPr>
        <w:t>帕金森氏症的常見症狀包括震顫、肌肉僵硬、動作緩慢</w:t>
      </w:r>
      <w:r w:rsidRPr="0028753B">
        <w:rPr>
          <w:rFonts w:ascii="Times New Roman" w:eastAsia="標楷體" w:hAnsi="Times New Roman" w:hint="eastAsia"/>
          <w:sz w:val="28"/>
          <w:szCs w:val="28"/>
        </w:rPr>
        <w:t>(bradykinesia)</w:t>
      </w:r>
      <w:r w:rsidRPr="0028753B">
        <w:rPr>
          <w:rFonts w:ascii="Times New Roman" w:eastAsia="標楷體" w:hAnsi="Times New Roman" w:hint="eastAsia"/>
          <w:sz w:val="28"/>
          <w:szCs w:val="28"/>
        </w:rPr>
        <w:t>、</w:t>
      </w:r>
      <w:r w:rsidRPr="0028753B">
        <w:rPr>
          <w:rFonts w:ascii="Times New Roman" w:eastAsia="標楷體" w:hAnsi="Times New Roman" w:hint="eastAsia"/>
          <w:sz w:val="28"/>
          <w:szCs w:val="28"/>
        </w:rPr>
        <w:t>(dyskinesia)</w:t>
      </w:r>
      <w:r w:rsidRPr="0028753B">
        <w:rPr>
          <w:rFonts w:ascii="Times New Roman" w:eastAsia="標楷體" w:hAnsi="Times New Roman" w:hint="eastAsia"/>
          <w:sz w:val="28"/>
          <w:szCs w:val="28"/>
        </w:rPr>
        <w:t>、平衡力和協調性受損、說話聲音微弱</w:t>
      </w:r>
      <w:r w:rsidRPr="0028753B">
        <w:rPr>
          <w:rFonts w:ascii="Times New Roman" w:eastAsia="標楷體" w:hAnsi="Times New Roman" w:hint="eastAsia"/>
          <w:sz w:val="28"/>
          <w:szCs w:val="28"/>
        </w:rPr>
        <w:t>(hypophonia)</w:t>
      </w:r>
      <w:r w:rsidRPr="0028753B">
        <w:rPr>
          <w:rFonts w:ascii="Times New Roman" w:eastAsia="標楷體" w:hAnsi="Times New Roman" w:hint="eastAsia"/>
          <w:sz w:val="28"/>
          <w:szCs w:val="28"/>
        </w:rPr>
        <w:t>、面無表情</w:t>
      </w:r>
      <w:r w:rsidRPr="0028753B">
        <w:rPr>
          <w:rFonts w:ascii="Times New Roman" w:eastAsia="標楷體" w:hAnsi="Times New Roman" w:hint="eastAsia"/>
          <w:sz w:val="28"/>
          <w:szCs w:val="28"/>
        </w:rPr>
        <w:t>(hypomimia)</w:t>
      </w:r>
      <w:r w:rsidRPr="0028753B">
        <w:rPr>
          <w:rFonts w:ascii="Times New Roman" w:eastAsia="標楷體" w:hAnsi="Times New Roman" w:hint="eastAsia"/>
          <w:sz w:val="28"/>
          <w:szCs w:val="28"/>
        </w:rPr>
        <w:t>、抑鬱、焦慮和睡眠障礙。</w:t>
      </w:r>
    </w:p>
    <w:p w14:paraId="6831A8DB" w14:textId="1E639818" w:rsidR="00F74ED5" w:rsidRPr="0028753B" w:rsidRDefault="00F74ED5" w:rsidP="0028753B">
      <w:pPr>
        <w:widowControl/>
        <w:numPr>
          <w:ilvl w:val="0"/>
          <w:numId w:val="32"/>
        </w:numPr>
        <w:adjustRightInd w:val="0"/>
        <w:snapToGrid w:val="0"/>
        <w:spacing w:line="240" w:lineRule="atLeast"/>
        <w:ind w:leftChars="-60" w:left="139" w:rightChars="-118" w:right="-283" w:hangingChars="101" w:hanging="283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 w:hint="eastAsia"/>
          <w:sz w:val="28"/>
          <w:szCs w:val="28"/>
        </w:rPr>
        <w:t>帕金森氏症</w:t>
      </w:r>
      <w:r w:rsidR="00F70B11">
        <w:rPr>
          <w:rFonts w:ascii="Times New Roman" w:eastAsia="標楷體" w:hAnsi="Times New Roman" w:cs="Times New Roman" w:hint="eastAsia"/>
          <w:bCs/>
          <w:kern w:val="0"/>
          <w:sz w:val="28"/>
          <w:szCs w:val="28"/>
        </w:rPr>
        <w:t>病人</w:t>
      </w:r>
      <w:r w:rsidRPr="0028753B">
        <w:rPr>
          <w:rFonts w:ascii="Times New Roman" w:eastAsia="標楷體" w:hAnsi="Times New Roman" w:hint="eastAsia"/>
          <w:sz w:val="28"/>
          <w:szCs w:val="28"/>
        </w:rPr>
        <w:t>常有口乾</w:t>
      </w:r>
      <w:r w:rsidRPr="0028753B">
        <w:rPr>
          <w:rFonts w:ascii="Times New Roman" w:eastAsia="標楷體" w:hAnsi="Times New Roman" w:hint="eastAsia"/>
          <w:sz w:val="28"/>
          <w:szCs w:val="28"/>
        </w:rPr>
        <w:t>(xerostomia)</w:t>
      </w:r>
      <w:r w:rsidRPr="0028753B">
        <w:rPr>
          <w:rFonts w:ascii="Times New Roman" w:eastAsia="標楷體" w:hAnsi="Times New Roman" w:hint="eastAsia"/>
          <w:sz w:val="28"/>
          <w:szCs w:val="28"/>
        </w:rPr>
        <w:t>、多</w:t>
      </w:r>
      <w:proofErr w:type="gramStart"/>
      <w:r w:rsidRPr="0028753B">
        <w:rPr>
          <w:rFonts w:ascii="Times New Roman" w:eastAsia="標楷體" w:hAnsi="Times New Roman" w:hint="eastAsia"/>
          <w:sz w:val="28"/>
          <w:szCs w:val="28"/>
        </w:rPr>
        <w:t>涎</w:t>
      </w:r>
      <w:proofErr w:type="gramEnd"/>
      <w:r w:rsidRPr="0028753B">
        <w:rPr>
          <w:rFonts w:ascii="Times New Roman" w:eastAsia="標楷體" w:hAnsi="Times New Roman" w:hint="eastAsia"/>
          <w:sz w:val="28"/>
          <w:szCs w:val="28"/>
        </w:rPr>
        <w:t>(sialorrhea)</w:t>
      </w:r>
      <w:r w:rsidRPr="0028753B">
        <w:rPr>
          <w:rFonts w:ascii="Times New Roman" w:eastAsia="標楷體" w:hAnsi="Times New Roman" w:hint="eastAsia"/>
          <w:sz w:val="28"/>
          <w:szCs w:val="28"/>
        </w:rPr>
        <w:t>、吞嚥困難</w:t>
      </w:r>
      <w:r w:rsidRPr="0028753B">
        <w:rPr>
          <w:rFonts w:ascii="Times New Roman" w:eastAsia="標楷體" w:hAnsi="Times New Roman" w:hint="eastAsia"/>
          <w:sz w:val="28"/>
          <w:szCs w:val="28"/>
        </w:rPr>
        <w:t>(dysphagia)</w:t>
      </w:r>
      <w:r w:rsidRPr="0028753B">
        <w:rPr>
          <w:rFonts w:ascii="Times New Roman" w:eastAsia="標楷體" w:hAnsi="Times New Roman" w:hint="eastAsia"/>
          <w:sz w:val="28"/>
          <w:szCs w:val="28"/>
        </w:rPr>
        <w:t>、面部震顫和說話障礙。</w:t>
      </w:r>
    </w:p>
    <w:p w14:paraId="5427CB86" w14:textId="77777777" w:rsidR="00F74ED5" w:rsidRPr="0028753B" w:rsidRDefault="00F74ED5" w:rsidP="0028753B">
      <w:pPr>
        <w:widowControl/>
        <w:numPr>
          <w:ilvl w:val="0"/>
          <w:numId w:val="32"/>
        </w:numPr>
        <w:adjustRightInd w:val="0"/>
        <w:snapToGrid w:val="0"/>
        <w:spacing w:line="240" w:lineRule="atLeast"/>
        <w:ind w:leftChars="-60" w:left="139" w:rightChars="-118" w:right="-283" w:hangingChars="101" w:hanging="283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/>
          <w:sz w:val="28"/>
          <w:szCs w:val="28"/>
        </w:rPr>
        <w:t>帕金森氏症治療藥物與牙科藥物的交互作用及注意事項：</w:t>
      </w:r>
    </w:p>
    <w:p w14:paraId="15B7B816" w14:textId="77777777" w:rsidR="00F74ED5" w:rsidRPr="0028753B" w:rsidRDefault="00F74ED5" w:rsidP="00F74ED5">
      <w:pPr>
        <w:widowControl/>
        <w:adjustRightInd w:val="0"/>
        <w:snapToGrid w:val="0"/>
        <w:spacing w:line="240" w:lineRule="atLeast"/>
        <w:ind w:left="142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/>
          <w:sz w:val="28"/>
          <w:szCs w:val="28"/>
        </w:rPr>
        <w:t>Lidocaine</w:t>
      </w:r>
      <w:r w:rsidRPr="0028753B">
        <w:rPr>
          <w:rFonts w:ascii="Times New Roman" w:eastAsia="標楷體" w:hAnsi="Times New Roman"/>
          <w:sz w:val="28"/>
          <w:szCs w:val="28"/>
        </w:rPr>
        <w:t>：可能影響心血管系統，需注意監測血壓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和心率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。</w:t>
      </w:r>
    </w:p>
    <w:p w14:paraId="441DE6C1" w14:textId="77777777" w:rsidR="00F74ED5" w:rsidRPr="0028753B" w:rsidRDefault="00F74ED5" w:rsidP="0028753B">
      <w:pPr>
        <w:widowControl/>
        <w:numPr>
          <w:ilvl w:val="0"/>
          <w:numId w:val="32"/>
        </w:numPr>
        <w:adjustRightInd w:val="0"/>
        <w:snapToGrid w:val="0"/>
        <w:spacing w:line="240" w:lineRule="atLeast"/>
        <w:ind w:leftChars="-60" w:left="139" w:rightChars="-118" w:right="-283" w:hangingChars="101" w:hanging="283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/>
          <w:sz w:val="28"/>
          <w:szCs w:val="28"/>
        </w:rPr>
        <w:t>局部麻醉藥物與單胺氧化酶</w:t>
      </w:r>
      <w:r w:rsidRPr="0028753B">
        <w:rPr>
          <w:rFonts w:ascii="Times New Roman" w:eastAsia="標楷體" w:hAnsi="Times New Roman"/>
          <w:sz w:val="28"/>
          <w:szCs w:val="28"/>
        </w:rPr>
        <w:t>-B(MAO-B)</w:t>
      </w:r>
      <w:r w:rsidRPr="0028753B">
        <w:rPr>
          <w:rFonts w:ascii="Times New Roman" w:eastAsia="標楷體" w:hAnsi="Times New Roman"/>
          <w:sz w:val="28"/>
          <w:szCs w:val="28"/>
        </w:rPr>
        <w:t>抑制劑之間可能會產生藥物交互作用。</w:t>
      </w:r>
    </w:p>
    <w:tbl>
      <w:tblPr>
        <w:tblW w:w="10065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6832"/>
      </w:tblGrid>
      <w:tr w:rsidR="00F74ED5" w:rsidRPr="00F166C9" w14:paraId="7445E002" w14:textId="77777777" w:rsidTr="0028753B">
        <w:trPr>
          <w:tblHeader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AB3C9" w14:textId="77777777" w:rsidR="00F74ED5" w:rsidRPr="00F166C9" w:rsidRDefault="00F74ED5" w:rsidP="00F70B11">
            <w:pPr>
              <w:adjustRightInd w:val="0"/>
              <w:snapToGrid w:val="0"/>
              <w:spacing w:line="240" w:lineRule="atLeast"/>
              <w:ind w:rightChars="-45" w:right="-108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已確認</w:t>
            </w: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01A4F" w14:textId="77777777" w:rsidR="00F74ED5" w:rsidRPr="00F166C9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6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E1EF0" w14:textId="77777777" w:rsidR="00F74ED5" w:rsidRPr="00F166C9" w:rsidRDefault="00F74ED5" w:rsidP="0028753B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注意事項</w:t>
            </w:r>
          </w:p>
        </w:tc>
      </w:tr>
      <w:tr w:rsidR="0028753B" w:rsidRPr="0028753B" w14:paraId="4EF253E0" w14:textId="77777777" w:rsidTr="0028753B"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FB2A0" w14:textId="77777777" w:rsidR="00F74ED5" w:rsidRPr="0028753B" w:rsidRDefault="00F74ED5" w:rsidP="00FE21FF">
            <w:pPr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A9C6F" w14:textId="77777777" w:rsidR="00F74ED5" w:rsidRPr="0028753B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十、</w:t>
            </w:r>
            <w:r w:rsidRPr="0028753B"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  <w:t>失智症</w:t>
            </w:r>
          </w:p>
          <w:p w14:paraId="29EB594E" w14:textId="37971112" w:rsidR="0028753B" w:rsidRPr="0028753B" w:rsidRDefault="0028753B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b/>
                <w:kern w:val="0"/>
                <w:sz w:val="28"/>
                <w:szCs w:val="28"/>
                <w:u w:val="single"/>
              </w:rPr>
            </w:pPr>
            <w:r w:rsidRPr="0028753B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(</w:t>
            </w:r>
            <w:r w:rsidRPr="0028753B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備註：</w:t>
            </w:r>
            <w:r w:rsidRPr="0028753B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114</w:t>
            </w:r>
            <w:r w:rsidRPr="0028753B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年新增</w:t>
            </w:r>
            <w:r w:rsidRPr="0028753B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)</w:t>
            </w:r>
          </w:p>
        </w:tc>
        <w:tc>
          <w:tcPr>
            <w:tcW w:w="6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DC58D" w14:textId="77777777" w:rsidR="00F74ED5" w:rsidRPr="0028753B" w:rsidRDefault="00F74ED5" w:rsidP="0028753B">
            <w:pPr>
              <w:numPr>
                <w:ilvl w:val="0"/>
                <w:numId w:val="3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90" w:rightChars="-32" w:right="-77" w:hanging="490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kern w:val="0"/>
                <w:sz w:val="28"/>
                <w:szCs w:val="28"/>
              </w:rPr>
              <w:t>查詢</w:t>
            </w: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健保醫療資訊雲端查詢系統並詢問病人用藥</w:t>
            </w: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(</w:t>
            </w: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病史詢問</w:t>
            </w: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)</w:t>
            </w: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且記載於病歷。</w:t>
            </w:r>
          </w:p>
          <w:p w14:paraId="25207F40" w14:textId="77777777" w:rsidR="00F74ED5" w:rsidRPr="0028753B" w:rsidRDefault="00F74ED5" w:rsidP="00F74ED5">
            <w:pPr>
              <w:numPr>
                <w:ilvl w:val="0"/>
                <w:numId w:val="3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-32" w:right="-77" w:hanging="317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告知</w:t>
            </w:r>
            <w:r w:rsidRPr="0028753B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病人使用藥物帶來的影響及相</w:t>
            </w: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關風險。</w:t>
            </w:r>
          </w:p>
          <w:p w14:paraId="6ABE8999" w14:textId="77777777" w:rsidR="00F74ED5" w:rsidRPr="0028753B" w:rsidRDefault="00F74ED5" w:rsidP="00F74ED5">
            <w:pPr>
              <w:numPr>
                <w:ilvl w:val="0"/>
                <w:numId w:val="3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-32" w:right="-77" w:hanging="317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牙科治療安排注意事項：</w:t>
            </w:r>
          </w:p>
          <w:p w14:paraId="2AB19A22" w14:textId="77777777" w:rsidR="00F74ED5" w:rsidRPr="0028753B" w:rsidRDefault="00F74ED5" w:rsidP="00F74ED5">
            <w:pPr>
              <w:numPr>
                <w:ilvl w:val="0"/>
                <w:numId w:val="43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73" w:rightChars="-32" w:right="-77" w:hanging="425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看牙最好選在早上的時段，不要在傍晚時刻，避免日落症候群。</w:t>
            </w:r>
          </w:p>
          <w:p w14:paraId="7A72E53D" w14:textId="77777777" w:rsidR="00F74ED5" w:rsidRPr="0028753B" w:rsidRDefault="00F74ED5" w:rsidP="00F74ED5">
            <w:pPr>
              <w:numPr>
                <w:ilvl w:val="0"/>
                <w:numId w:val="43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73" w:rightChars="-32" w:right="-77" w:hanging="425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proofErr w:type="gramStart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看診前先</w:t>
            </w:r>
            <w:proofErr w:type="gramEnd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去廁所，治療時間不宜超過</w:t>
            </w: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45</w:t>
            </w: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分鐘。</w:t>
            </w:r>
          </w:p>
          <w:p w14:paraId="24D13BAA" w14:textId="77777777" w:rsidR="00F74ED5" w:rsidRPr="0028753B" w:rsidRDefault="00F74ED5" w:rsidP="00F74ED5">
            <w:pPr>
              <w:numPr>
                <w:ilvl w:val="0"/>
                <w:numId w:val="43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73" w:rightChars="-32" w:right="-77" w:hanging="425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診間環境盡量能安靜舒適，且有主要照顧者或家屬陪同尤佳。</w:t>
            </w:r>
          </w:p>
          <w:p w14:paraId="09EAAED2" w14:textId="77777777" w:rsidR="00F74ED5" w:rsidRPr="0028753B" w:rsidRDefault="00F74ED5" w:rsidP="00F74ED5">
            <w:pPr>
              <w:numPr>
                <w:ilvl w:val="0"/>
                <w:numId w:val="43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773" w:rightChars="-32" w:right="-77" w:hanging="425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初期症狀輕微時可配合治療，漸漸地隨著病程演進，治療較為困難，治療照護策略轉成保守並加強預防與功能維持。</w:t>
            </w:r>
          </w:p>
          <w:p w14:paraId="0B415B66" w14:textId="77777777" w:rsidR="00F74ED5" w:rsidRPr="0028753B" w:rsidRDefault="00F74ED5" w:rsidP="00F74ED5">
            <w:pPr>
              <w:numPr>
                <w:ilvl w:val="0"/>
                <w:numId w:val="3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用藥注意事項：</w:t>
            </w:r>
          </w:p>
          <w:p w14:paraId="655C18DE" w14:textId="77777777" w:rsidR="00F74ED5" w:rsidRPr="0028753B" w:rsidRDefault="00F74ED5" w:rsidP="0028753B">
            <w:pPr>
              <w:pStyle w:val="af3"/>
              <w:numPr>
                <w:ilvl w:val="0"/>
                <w:numId w:val="4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Chars="0" w:left="916" w:rightChars="-32" w:right="-77" w:hanging="568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失智症病人有時會服用抗抑鬱藥、抗精神病藥和鎮靜劑。這些藥物的副作用之一是口乾，而</w:t>
            </w:r>
            <w:proofErr w:type="gramStart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口乾會導致</w:t>
            </w:r>
            <w:proofErr w:type="gramEnd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嚴重假牙問題。</w:t>
            </w:r>
          </w:p>
          <w:p w14:paraId="1932DB10" w14:textId="77777777" w:rsidR="00F74ED5" w:rsidRPr="0028753B" w:rsidRDefault="00F74ED5" w:rsidP="0028753B">
            <w:pPr>
              <w:pStyle w:val="af3"/>
              <w:numPr>
                <w:ilvl w:val="0"/>
                <w:numId w:val="4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Chars="0" w:left="916" w:rightChars="-32" w:right="-77" w:hanging="568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sz w:val="28"/>
                <w:szCs w:val="28"/>
              </w:rPr>
              <w:lastRenderedPageBreak/>
              <w:t>若藥物是</w:t>
            </w:r>
            <w:proofErr w:type="gramStart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用糖基底</w:t>
            </w:r>
            <w:proofErr w:type="gramEnd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的，那齲齒的風險就會增加，可要求內科醫師開出無糖代替品。牙醫也可使用</w:t>
            </w: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Chlorhexidine</w:t>
            </w: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和氟化物，以防止在齒頸部的齲齒。</w:t>
            </w:r>
          </w:p>
          <w:p w14:paraId="4F0AA331" w14:textId="77777777" w:rsidR="00F74ED5" w:rsidRPr="0028753B" w:rsidRDefault="00F74ED5" w:rsidP="0028753B">
            <w:pPr>
              <w:pStyle w:val="af3"/>
              <w:numPr>
                <w:ilvl w:val="0"/>
                <w:numId w:val="44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Chars="0" w:left="916" w:rightChars="-32" w:right="-77" w:hanging="568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一些抗精神病藥會導致舌頭和</w:t>
            </w:r>
            <w:proofErr w:type="gramStart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頜骨</w:t>
            </w:r>
            <w:proofErr w:type="gramEnd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不正常運動增加，從而使配戴假牙變得困難，尤其是下頜延遲性震顫，</w:t>
            </w:r>
            <w:proofErr w:type="gramStart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這些頜骨震顫</w:t>
            </w:r>
            <w:proofErr w:type="gramEnd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停藥後可能仍然存在。</w:t>
            </w:r>
          </w:p>
          <w:p w14:paraId="66237959" w14:textId="77777777" w:rsidR="00F74ED5" w:rsidRPr="0028753B" w:rsidRDefault="00F74ED5" w:rsidP="00F74ED5">
            <w:pPr>
              <w:numPr>
                <w:ilvl w:val="0"/>
                <w:numId w:val="3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kern w:val="0"/>
                <w:sz w:val="28"/>
                <w:szCs w:val="28"/>
              </w:rPr>
              <w:t>治療時</w:t>
            </w:r>
            <w:proofErr w:type="gramStart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注意嗆</w:t>
            </w:r>
            <w:proofErr w:type="gramEnd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咳。</w:t>
            </w:r>
          </w:p>
          <w:p w14:paraId="79F33068" w14:textId="77777777" w:rsidR="00F74ED5" w:rsidRPr="0028753B" w:rsidRDefault="00F74ED5" w:rsidP="00F74ED5">
            <w:pPr>
              <w:numPr>
                <w:ilvl w:val="0"/>
                <w:numId w:val="3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104" w:right="250" w:hanging="317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病人移位時須注意。</w:t>
            </w:r>
          </w:p>
          <w:p w14:paraId="01950743" w14:textId="77777777" w:rsidR="00F74ED5" w:rsidRPr="0028753B" w:rsidRDefault="00F74ED5" w:rsidP="00F74ED5">
            <w:pPr>
              <w:numPr>
                <w:ilvl w:val="0"/>
                <w:numId w:val="3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-32" w:right="-77" w:hanging="317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kern w:val="0"/>
                <w:sz w:val="28"/>
                <w:szCs w:val="28"/>
              </w:rPr>
              <w:t>醫療決</w:t>
            </w: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策制定宜與病患、監護人或家屬共同商討決定。</w:t>
            </w:r>
          </w:p>
          <w:p w14:paraId="4D444405" w14:textId="77777777" w:rsidR="00F74ED5" w:rsidRPr="0028753B" w:rsidRDefault="00F74ED5" w:rsidP="00F74ED5">
            <w:pPr>
              <w:numPr>
                <w:ilvl w:val="0"/>
                <w:numId w:val="36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317" w:rightChars="-32" w:right="-77" w:hanging="317"/>
              <w:jc w:val="both"/>
              <w:textAlignment w:val="bottom"/>
              <w:rPr>
                <w:rFonts w:ascii="Times New Roman" w:eastAsia="標楷體" w:hAnsi="Times New Roman"/>
                <w:sz w:val="28"/>
                <w:szCs w:val="28"/>
              </w:rPr>
            </w:pPr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若無法掌握病人病程的狀況，在</w:t>
            </w:r>
            <w:proofErr w:type="gramStart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治療前宜照會</w:t>
            </w:r>
            <w:proofErr w:type="gramEnd"/>
            <w:r w:rsidRPr="0028753B">
              <w:rPr>
                <w:rFonts w:ascii="Times New Roman" w:eastAsia="標楷體" w:hAnsi="Times New Roman"/>
                <w:sz w:val="28"/>
                <w:szCs w:val="28"/>
              </w:rPr>
              <w:t>或轉診至其他相關單位做進</w:t>
            </w:r>
            <w:r w:rsidRPr="0028753B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一步診治。</w:t>
            </w:r>
          </w:p>
        </w:tc>
      </w:tr>
    </w:tbl>
    <w:p w14:paraId="4188986F" w14:textId="77777777" w:rsidR="00F74ED5" w:rsidRPr="0028753B" w:rsidRDefault="00F74ED5" w:rsidP="00F74ED5">
      <w:pPr>
        <w:widowControl/>
        <w:adjustRightInd w:val="0"/>
        <w:snapToGrid w:val="0"/>
        <w:spacing w:line="240" w:lineRule="atLeast"/>
        <w:ind w:leftChars="-236" w:left="426" w:hangingChars="354" w:hanging="992"/>
        <w:jc w:val="both"/>
        <w:rPr>
          <w:rFonts w:ascii="Times New Roman" w:eastAsia="標楷體" w:hAnsi="Times New Roman"/>
          <w:b/>
          <w:sz w:val="28"/>
          <w:szCs w:val="28"/>
        </w:rPr>
      </w:pPr>
      <w:r w:rsidRPr="0028753B">
        <w:rPr>
          <w:rFonts w:ascii="Times New Roman" w:eastAsia="標楷體" w:hAnsi="Times New Roman"/>
          <w:b/>
          <w:sz w:val="28"/>
          <w:szCs w:val="28"/>
        </w:rPr>
        <w:t>【背景說明</w:t>
      </w:r>
      <w:r w:rsidRPr="0028753B">
        <w:rPr>
          <w:rFonts w:ascii="Times New Roman" w:eastAsia="標楷體" w:hAnsi="Times New Roman"/>
          <w:b/>
          <w:sz w:val="28"/>
          <w:szCs w:val="28"/>
        </w:rPr>
        <w:t>(</w:t>
      </w:r>
      <w:r w:rsidRPr="0028753B">
        <w:rPr>
          <w:rFonts w:ascii="Times New Roman" w:eastAsia="標楷體" w:hAnsi="Times New Roman"/>
          <w:b/>
          <w:sz w:val="28"/>
          <w:szCs w:val="28"/>
        </w:rPr>
        <w:t>參考事項</w:t>
      </w:r>
      <w:r w:rsidRPr="0028753B">
        <w:rPr>
          <w:rFonts w:ascii="Times New Roman" w:eastAsia="標楷體" w:hAnsi="Times New Roman"/>
          <w:b/>
          <w:sz w:val="28"/>
          <w:szCs w:val="28"/>
        </w:rPr>
        <w:t>)</w:t>
      </w:r>
      <w:r w:rsidRPr="0028753B">
        <w:rPr>
          <w:rFonts w:ascii="Times New Roman" w:eastAsia="標楷體" w:hAnsi="Times New Roman"/>
          <w:b/>
          <w:sz w:val="28"/>
          <w:szCs w:val="28"/>
        </w:rPr>
        <w:t>】</w:t>
      </w:r>
    </w:p>
    <w:p w14:paraId="304CAEEB" w14:textId="77777777" w:rsidR="00F74ED5" w:rsidRPr="0028753B" w:rsidRDefault="00F74ED5" w:rsidP="00617FEA">
      <w:pPr>
        <w:widowControl/>
        <w:numPr>
          <w:ilvl w:val="0"/>
          <w:numId w:val="35"/>
        </w:numPr>
        <w:adjustRightInd w:val="0"/>
        <w:snapToGrid w:val="0"/>
        <w:spacing w:line="240" w:lineRule="atLeast"/>
        <w:ind w:leftChars="-117" w:left="142" w:rightChars="-60" w:right="-144" w:hangingChars="151" w:hanging="423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 w:hint="eastAsia"/>
          <w:sz w:val="28"/>
          <w:szCs w:val="28"/>
        </w:rPr>
        <w:t>失智是一種症狀</w:t>
      </w:r>
      <w:r w:rsidRPr="0028753B">
        <w:rPr>
          <w:rFonts w:ascii="Times New Roman" w:eastAsia="標楷體" w:hAnsi="Times New Roman" w:hint="eastAsia"/>
          <w:sz w:val="28"/>
          <w:szCs w:val="28"/>
        </w:rPr>
        <w:t>(syndrome)</w:t>
      </w:r>
      <w:r w:rsidRPr="0028753B">
        <w:rPr>
          <w:rFonts w:ascii="Times New Roman" w:eastAsia="標楷體" w:hAnsi="Times New Roman" w:hint="eastAsia"/>
          <w:sz w:val="28"/>
          <w:szCs w:val="28"/>
        </w:rPr>
        <w:t>，本質是慢性亦屬進行中的，它是認知功能的惡化；</w:t>
      </w:r>
      <w:proofErr w:type="gramStart"/>
      <w:r w:rsidRPr="0028753B">
        <w:rPr>
          <w:rFonts w:ascii="Times New Roman" w:eastAsia="標楷體" w:hAnsi="Times New Roman" w:hint="eastAsia"/>
          <w:sz w:val="28"/>
          <w:szCs w:val="28"/>
        </w:rPr>
        <w:t>這類失能</w:t>
      </w:r>
      <w:proofErr w:type="gramEnd"/>
      <w:r w:rsidRPr="0028753B">
        <w:rPr>
          <w:rFonts w:ascii="Times New Roman" w:eastAsia="標楷體" w:hAnsi="Times New Roman" w:hint="eastAsia"/>
          <w:sz w:val="28"/>
          <w:szCs w:val="28"/>
        </w:rPr>
        <w:t>症狀會損傷個人能力，通常干擾到每天生活功能，甚至喪失獨立能力，失智是在緩慢進行中，喪失智力，包含記憶力、抽象思考與判斷。基本而言它是疾病，在</w:t>
      </w:r>
      <w:r w:rsidRPr="0028753B">
        <w:rPr>
          <w:rFonts w:ascii="Times New Roman" w:eastAsia="標楷體" w:hAnsi="Times New Roman" w:hint="eastAsia"/>
          <w:sz w:val="28"/>
          <w:szCs w:val="28"/>
        </w:rPr>
        <w:t>60</w:t>
      </w:r>
      <w:r w:rsidRPr="0028753B">
        <w:rPr>
          <w:rFonts w:ascii="Times New Roman" w:eastAsia="標楷體" w:hAnsi="Times New Roman" w:hint="eastAsia"/>
          <w:sz w:val="28"/>
          <w:szCs w:val="28"/>
        </w:rPr>
        <w:t>歲</w:t>
      </w:r>
      <w:proofErr w:type="gramStart"/>
      <w:r w:rsidRPr="0028753B">
        <w:rPr>
          <w:rFonts w:ascii="Times New Roman" w:eastAsia="標楷體" w:hAnsi="Times New Roman" w:hint="eastAsia"/>
          <w:sz w:val="28"/>
          <w:szCs w:val="28"/>
        </w:rPr>
        <w:t>罹</w:t>
      </w:r>
      <w:proofErr w:type="gramEnd"/>
      <w:r w:rsidRPr="0028753B">
        <w:rPr>
          <w:rFonts w:ascii="Times New Roman" w:eastAsia="標楷體" w:hAnsi="Times New Roman" w:hint="eastAsia"/>
          <w:sz w:val="28"/>
          <w:szCs w:val="28"/>
        </w:rPr>
        <w:t>患有</w:t>
      </w:r>
      <w:r w:rsidRPr="0028753B">
        <w:rPr>
          <w:rFonts w:ascii="Times New Roman" w:eastAsia="標楷體" w:hAnsi="Times New Roman" w:hint="eastAsia"/>
          <w:sz w:val="28"/>
          <w:szCs w:val="28"/>
        </w:rPr>
        <w:t>1%</w:t>
      </w:r>
      <w:r w:rsidRPr="0028753B">
        <w:rPr>
          <w:rFonts w:ascii="Times New Roman" w:eastAsia="標楷體" w:hAnsi="Times New Roman" w:hint="eastAsia"/>
          <w:sz w:val="28"/>
          <w:szCs w:val="28"/>
        </w:rPr>
        <w:t>，在</w:t>
      </w:r>
      <w:r w:rsidRPr="0028753B">
        <w:rPr>
          <w:rFonts w:ascii="Times New Roman" w:eastAsia="標楷體" w:hAnsi="Times New Roman" w:hint="eastAsia"/>
          <w:sz w:val="28"/>
          <w:szCs w:val="28"/>
        </w:rPr>
        <w:t>85</w:t>
      </w:r>
      <w:r w:rsidRPr="0028753B">
        <w:rPr>
          <w:rFonts w:ascii="Times New Roman" w:eastAsia="標楷體" w:hAnsi="Times New Roman" w:hint="eastAsia"/>
          <w:sz w:val="28"/>
          <w:szCs w:val="28"/>
        </w:rPr>
        <w:t>歲</w:t>
      </w:r>
      <w:proofErr w:type="gramStart"/>
      <w:r w:rsidRPr="0028753B">
        <w:rPr>
          <w:rFonts w:ascii="Times New Roman" w:eastAsia="標楷體" w:hAnsi="Times New Roman" w:hint="eastAsia"/>
          <w:sz w:val="28"/>
          <w:szCs w:val="28"/>
        </w:rPr>
        <w:t>罹患卻</w:t>
      </w:r>
      <w:proofErr w:type="gramEnd"/>
      <w:r w:rsidRPr="0028753B">
        <w:rPr>
          <w:rFonts w:ascii="Times New Roman" w:eastAsia="標楷體" w:hAnsi="Times New Roman" w:hint="eastAsia"/>
          <w:sz w:val="28"/>
          <w:szCs w:val="28"/>
        </w:rPr>
        <w:t>超過</w:t>
      </w:r>
      <w:r w:rsidRPr="0028753B">
        <w:rPr>
          <w:rFonts w:ascii="Times New Roman" w:eastAsia="標楷體" w:hAnsi="Times New Roman" w:hint="eastAsia"/>
          <w:sz w:val="28"/>
          <w:szCs w:val="28"/>
        </w:rPr>
        <w:t>40%</w:t>
      </w:r>
      <w:r w:rsidRPr="0028753B">
        <w:rPr>
          <w:rFonts w:ascii="Times New Roman" w:eastAsia="標楷體" w:hAnsi="Times New Roman" w:hint="eastAsia"/>
          <w:sz w:val="28"/>
          <w:szCs w:val="28"/>
        </w:rPr>
        <w:t>，總言之，失智症是慢性的</w:t>
      </w:r>
      <w:proofErr w:type="gramStart"/>
      <w:r w:rsidRPr="0028753B">
        <w:rPr>
          <w:rFonts w:ascii="Times New Roman" w:eastAsia="標楷體" w:hAnsi="Times New Roman" w:hint="eastAsia"/>
          <w:sz w:val="28"/>
          <w:szCs w:val="28"/>
        </w:rPr>
        <w:t>腦部退行</w:t>
      </w:r>
      <w:proofErr w:type="gramEnd"/>
      <w:r w:rsidRPr="0028753B">
        <w:rPr>
          <w:rFonts w:ascii="Times New Roman" w:eastAsia="標楷體" w:hAnsi="Times New Roman" w:hint="eastAsia"/>
          <w:sz w:val="28"/>
          <w:szCs w:val="28"/>
        </w:rPr>
        <w:t>性變化，其中僅</w:t>
      </w:r>
      <w:r w:rsidRPr="0028753B">
        <w:rPr>
          <w:rFonts w:ascii="Times New Roman" w:eastAsia="標楷體" w:hAnsi="Times New Roman" w:hint="eastAsia"/>
          <w:sz w:val="28"/>
          <w:szCs w:val="28"/>
        </w:rPr>
        <w:t>10%</w:t>
      </w:r>
      <w:r w:rsidRPr="0028753B">
        <w:rPr>
          <w:rFonts w:ascii="Times New Roman" w:eastAsia="標楷體" w:hAnsi="Times New Roman" w:hint="eastAsia"/>
          <w:sz w:val="28"/>
          <w:szCs w:val="28"/>
        </w:rPr>
        <w:t>有機會恢復。</w:t>
      </w:r>
    </w:p>
    <w:p w14:paraId="08DF49FC" w14:textId="77777777" w:rsidR="00F74ED5" w:rsidRPr="0028753B" w:rsidRDefault="00F74ED5" w:rsidP="00617FEA">
      <w:pPr>
        <w:widowControl/>
        <w:numPr>
          <w:ilvl w:val="0"/>
          <w:numId w:val="35"/>
        </w:numPr>
        <w:adjustRightInd w:val="0"/>
        <w:snapToGrid w:val="0"/>
        <w:spacing w:line="240" w:lineRule="atLeast"/>
        <w:ind w:leftChars="-117" w:left="142" w:rightChars="-60" w:right="-144" w:hangingChars="151" w:hanging="423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/>
          <w:sz w:val="28"/>
          <w:szCs w:val="28"/>
        </w:rPr>
        <w:t>失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智症非正常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老化的現象，而是一種進行性退化的疾病，也是一個腦部病變的泛稱，用於描述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罹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病病人喪失記憶、語言、解決問題能力和其他思維能力，且其嚴重程度足以干擾日常生活。失智症大致分為退化性及血管性兩類。「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退化性失智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症」包括阿茲海默症</w:t>
      </w:r>
      <w:r w:rsidRPr="0028753B">
        <w:rPr>
          <w:rFonts w:ascii="Times New Roman" w:eastAsia="標楷體" w:hAnsi="Times New Roman"/>
          <w:sz w:val="28"/>
          <w:szCs w:val="28"/>
        </w:rPr>
        <w:t>(Alzheimer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’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s disease)</w:t>
      </w:r>
      <w:r w:rsidRPr="0028753B">
        <w:rPr>
          <w:rFonts w:ascii="Times New Roman" w:eastAsia="標楷體" w:hAnsi="Times New Roman"/>
          <w:sz w:val="28"/>
          <w:szCs w:val="28"/>
        </w:rPr>
        <w:t>、額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顳葉型失智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症、路易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氏體失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智症。「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血管性失智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症」成因為腦中風或慢性腦血管病變，造成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腦部缺血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，造成腦細胞死亡而智力減退。失智症包含五種類型，分別為：</w:t>
      </w:r>
    </w:p>
    <w:p w14:paraId="79260F80" w14:textId="77777777" w:rsidR="00F74ED5" w:rsidRPr="0028753B" w:rsidRDefault="00F74ED5" w:rsidP="00F74ED5">
      <w:pPr>
        <w:widowControl/>
        <w:adjustRightInd w:val="0"/>
        <w:snapToGrid w:val="0"/>
        <w:spacing w:line="240" w:lineRule="atLeast"/>
        <w:ind w:leftChars="59" w:left="282" w:hangingChars="50" w:hanging="140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 w:hint="eastAsia"/>
          <w:b/>
          <w:sz w:val="28"/>
          <w:szCs w:val="28"/>
        </w:rPr>
        <w:t>*</w:t>
      </w:r>
      <w:r w:rsidRPr="0028753B">
        <w:rPr>
          <w:rFonts w:ascii="Times New Roman" w:eastAsia="標楷體" w:hAnsi="Times New Roman"/>
          <w:b/>
          <w:sz w:val="28"/>
          <w:szCs w:val="28"/>
        </w:rPr>
        <w:t>阿茲海默症</w:t>
      </w:r>
      <w:r w:rsidRPr="0028753B">
        <w:rPr>
          <w:rFonts w:ascii="Times New Roman" w:eastAsia="標楷體" w:hAnsi="Times New Roman"/>
          <w:b/>
          <w:sz w:val="28"/>
          <w:szCs w:val="28"/>
        </w:rPr>
        <w:t>(Alzheimer's Disease)</w:t>
      </w:r>
      <w:r w:rsidRPr="0028753B">
        <w:rPr>
          <w:rFonts w:ascii="Times New Roman" w:eastAsia="標楷體" w:hAnsi="Times New Roman"/>
          <w:sz w:val="28"/>
          <w:szCs w:val="28"/>
        </w:rPr>
        <w:t>：約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佔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60~70%</w:t>
      </w:r>
      <w:r w:rsidRPr="0028753B">
        <w:rPr>
          <w:rFonts w:ascii="Times New Roman" w:eastAsia="標楷體" w:hAnsi="Times New Roman"/>
          <w:sz w:val="28"/>
          <w:szCs w:val="28"/>
        </w:rPr>
        <w:t>。主要症狀包括記憶力衰退、語言問題和不可預測的行為。阿茲海默症是一種不可逆，進展性的腦部疾病，其特徵為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腦部內形成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澱粉樣蛋白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老化斑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(Amyloid plaques)</w:t>
      </w:r>
      <w:r w:rsidRPr="0028753B">
        <w:rPr>
          <w:rFonts w:ascii="Times New Roman" w:eastAsia="標楷體" w:hAnsi="Times New Roman"/>
          <w:sz w:val="28"/>
          <w:szCs w:val="28"/>
        </w:rPr>
        <w:t>及神經纖維糾結</w:t>
      </w:r>
      <w:r w:rsidRPr="0028753B">
        <w:rPr>
          <w:rFonts w:ascii="Times New Roman" w:eastAsia="標楷體" w:hAnsi="Times New Roman"/>
          <w:sz w:val="28"/>
          <w:szCs w:val="28"/>
        </w:rPr>
        <w:t>(Neurofibrillary tangles)</w:t>
      </w:r>
      <w:r w:rsidRPr="0028753B">
        <w:rPr>
          <w:rFonts w:ascii="Times New Roman" w:eastAsia="標楷體" w:hAnsi="Times New Roman"/>
          <w:sz w:val="28"/>
          <w:szCs w:val="28"/>
        </w:rPr>
        <w:t>、腦中神經細胞間連結的喪失，和這些神經細胞的凋亡。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阿茲海默症可分為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兩種：早發型阿茲海默症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與晚發型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阿茲海默症。</w:t>
      </w:r>
    </w:p>
    <w:p w14:paraId="442DA23A" w14:textId="77777777" w:rsidR="00F74ED5" w:rsidRPr="0028753B" w:rsidRDefault="00F74ED5" w:rsidP="00F74ED5">
      <w:pPr>
        <w:widowControl/>
        <w:adjustRightInd w:val="0"/>
        <w:snapToGrid w:val="0"/>
        <w:spacing w:line="240" w:lineRule="atLeast"/>
        <w:ind w:leftChars="59" w:left="282" w:hangingChars="50" w:hanging="140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 w:hint="eastAsia"/>
          <w:b/>
          <w:sz w:val="28"/>
          <w:szCs w:val="28"/>
        </w:rPr>
        <w:t>*</w:t>
      </w:r>
      <w:proofErr w:type="gramStart"/>
      <w:r w:rsidRPr="0028753B">
        <w:rPr>
          <w:rFonts w:ascii="Times New Roman" w:eastAsia="標楷體" w:hAnsi="Times New Roman"/>
          <w:b/>
          <w:sz w:val="28"/>
          <w:szCs w:val="28"/>
        </w:rPr>
        <w:t>血管型失智</w:t>
      </w:r>
      <w:proofErr w:type="gramEnd"/>
      <w:r w:rsidRPr="0028753B">
        <w:rPr>
          <w:rFonts w:ascii="Times New Roman" w:eastAsia="標楷體" w:hAnsi="Times New Roman"/>
          <w:b/>
          <w:sz w:val="28"/>
          <w:szCs w:val="28"/>
        </w:rPr>
        <w:t>症</w:t>
      </w:r>
      <w:r w:rsidRPr="0028753B">
        <w:rPr>
          <w:rFonts w:ascii="Times New Roman" w:eastAsia="標楷體" w:hAnsi="Times New Roman"/>
          <w:b/>
          <w:sz w:val="28"/>
          <w:szCs w:val="28"/>
        </w:rPr>
        <w:t>(Vascular Dementia)</w:t>
      </w:r>
      <w:r w:rsidRPr="0028753B">
        <w:rPr>
          <w:rFonts w:ascii="Times New Roman" w:eastAsia="標楷體" w:hAnsi="Times New Roman"/>
          <w:sz w:val="28"/>
          <w:szCs w:val="28"/>
        </w:rPr>
        <w:t>：約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佔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10~20%</w:t>
      </w:r>
      <w:r w:rsidRPr="0028753B">
        <w:rPr>
          <w:rFonts w:ascii="Times New Roman" w:eastAsia="標楷體" w:hAnsi="Times New Roman"/>
          <w:sz w:val="28"/>
          <w:szCs w:val="28"/>
        </w:rPr>
        <w:t>。一定要有腦中風的證據，曾經發生過腦血管的病變。主要症狀為腦部智力功能退化，以記憶力為主，加上語言功能、空間定向的功能、操作功能、抽象思考、計算等任一方面功能的喪失。</w:t>
      </w:r>
    </w:p>
    <w:p w14:paraId="25B5674F" w14:textId="77777777" w:rsidR="00F74ED5" w:rsidRPr="0028753B" w:rsidRDefault="00F74ED5" w:rsidP="00F74ED5">
      <w:pPr>
        <w:widowControl/>
        <w:adjustRightInd w:val="0"/>
        <w:snapToGrid w:val="0"/>
        <w:spacing w:line="240" w:lineRule="atLeast"/>
        <w:ind w:leftChars="59" w:left="282" w:hangingChars="50" w:hanging="140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 w:hint="eastAsia"/>
          <w:b/>
          <w:sz w:val="28"/>
          <w:szCs w:val="28"/>
        </w:rPr>
        <w:t>*</w:t>
      </w:r>
      <w:r w:rsidRPr="0028753B">
        <w:rPr>
          <w:rFonts w:ascii="Times New Roman" w:eastAsia="標楷體" w:hAnsi="Times New Roman"/>
          <w:b/>
          <w:sz w:val="28"/>
          <w:szCs w:val="28"/>
        </w:rPr>
        <w:t>額</w:t>
      </w:r>
      <w:proofErr w:type="gramStart"/>
      <w:r w:rsidRPr="0028753B">
        <w:rPr>
          <w:rFonts w:ascii="Times New Roman" w:eastAsia="標楷體" w:hAnsi="Times New Roman"/>
          <w:b/>
          <w:sz w:val="28"/>
          <w:szCs w:val="28"/>
        </w:rPr>
        <w:t>顳葉型失智</w:t>
      </w:r>
      <w:proofErr w:type="gramEnd"/>
      <w:r w:rsidRPr="0028753B">
        <w:rPr>
          <w:rFonts w:ascii="Times New Roman" w:eastAsia="標楷體" w:hAnsi="Times New Roman"/>
          <w:b/>
          <w:sz w:val="28"/>
          <w:szCs w:val="28"/>
        </w:rPr>
        <w:t>症</w:t>
      </w:r>
      <w:r w:rsidRPr="0028753B">
        <w:rPr>
          <w:rFonts w:ascii="Times New Roman" w:eastAsia="標楷體" w:hAnsi="Times New Roman"/>
          <w:b/>
          <w:sz w:val="28"/>
          <w:szCs w:val="28"/>
        </w:rPr>
        <w:t>(Frontotemporal Dementia)</w:t>
      </w:r>
      <w:r w:rsidRPr="0028753B">
        <w:rPr>
          <w:rFonts w:ascii="Times New Roman" w:eastAsia="標楷體" w:hAnsi="Times New Roman"/>
          <w:sz w:val="28"/>
          <w:szCs w:val="28"/>
        </w:rPr>
        <w:t>：約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佔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10%</w:t>
      </w:r>
      <w:r w:rsidRPr="0028753B">
        <w:rPr>
          <w:rFonts w:ascii="Times New Roman" w:eastAsia="標楷體" w:hAnsi="Times New Roman"/>
          <w:sz w:val="28"/>
          <w:szCs w:val="28"/>
        </w:rPr>
        <w:t>。主要症狀為行為或語言能力的改變。可能包括人格改變、缺乏同情心、重複性行為、詞彙量減少和語言理解能力下降。記憶和運動功能通常不受影響。</w:t>
      </w:r>
    </w:p>
    <w:p w14:paraId="3B490C2E" w14:textId="5238FE37" w:rsidR="00F74ED5" w:rsidRPr="0028753B" w:rsidRDefault="00F74ED5" w:rsidP="00F74ED5">
      <w:pPr>
        <w:widowControl/>
        <w:adjustRightInd w:val="0"/>
        <w:snapToGrid w:val="0"/>
        <w:spacing w:line="240" w:lineRule="atLeast"/>
        <w:ind w:leftChars="59" w:left="282" w:hangingChars="50" w:hanging="140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 w:hint="eastAsia"/>
          <w:b/>
          <w:sz w:val="28"/>
          <w:szCs w:val="28"/>
        </w:rPr>
        <w:lastRenderedPageBreak/>
        <w:t>*</w:t>
      </w:r>
      <w:r w:rsidRPr="0028753B">
        <w:rPr>
          <w:rFonts w:ascii="Times New Roman" w:eastAsia="標楷體" w:hAnsi="Times New Roman"/>
          <w:b/>
          <w:sz w:val="28"/>
          <w:szCs w:val="28"/>
        </w:rPr>
        <w:t>路易</w:t>
      </w:r>
      <w:proofErr w:type="gramStart"/>
      <w:r w:rsidRPr="0028753B">
        <w:rPr>
          <w:rFonts w:ascii="Times New Roman" w:eastAsia="標楷體" w:hAnsi="Times New Roman"/>
          <w:b/>
          <w:sz w:val="28"/>
          <w:szCs w:val="28"/>
        </w:rPr>
        <w:t>氏體失</w:t>
      </w:r>
      <w:proofErr w:type="gramEnd"/>
      <w:r w:rsidRPr="0028753B">
        <w:rPr>
          <w:rFonts w:ascii="Times New Roman" w:eastAsia="標楷體" w:hAnsi="Times New Roman"/>
          <w:b/>
          <w:sz w:val="28"/>
          <w:szCs w:val="28"/>
        </w:rPr>
        <w:t>智症</w:t>
      </w:r>
      <w:r w:rsidRPr="0028753B">
        <w:rPr>
          <w:rFonts w:ascii="Times New Roman" w:eastAsia="標楷體" w:hAnsi="Times New Roman"/>
          <w:b/>
          <w:sz w:val="28"/>
          <w:szCs w:val="28"/>
        </w:rPr>
        <w:t>(Lewy body dementia)</w:t>
      </w:r>
      <w:r w:rsidRPr="0028753B">
        <w:rPr>
          <w:rFonts w:ascii="Times New Roman" w:eastAsia="標楷體" w:hAnsi="Times New Roman"/>
          <w:b/>
          <w:sz w:val="28"/>
          <w:szCs w:val="28"/>
        </w:rPr>
        <w:t>：</w:t>
      </w:r>
      <w:r w:rsidRPr="0028753B">
        <w:rPr>
          <w:rFonts w:ascii="Times New Roman" w:eastAsia="標楷體" w:hAnsi="Times New Roman"/>
          <w:sz w:val="28"/>
          <w:szCs w:val="28"/>
        </w:rPr>
        <w:t>約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佔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5%</w:t>
      </w:r>
      <w:r w:rsidRPr="0028753B">
        <w:rPr>
          <w:rFonts w:ascii="Times New Roman" w:eastAsia="標楷體" w:hAnsi="Times New Roman"/>
          <w:sz w:val="28"/>
          <w:szCs w:val="28"/>
        </w:rPr>
        <w:t>。主要特徵為腦中會出現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路易氏體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(Lewy bodies)</w:t>
      </w:r>
      <w:r w:rsidRPr="0028753B">
        <w:rPr>
          <w:rFonts w:ascii="Times New Roman" w:eastAsia="標楷體" w:hAnsi="Times New Roman"/>
          <w:sz w:val="28"/>
          <w:szCs w:val="28"/>
        </w:rPr>
        <w:t>。廣義的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路易氏體疾病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包括帕金森氏症、路易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氏體失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智症及多發系統萎縮症等，前兩者有著共通的臨床症狀，除了動作遲緩、面無表情、肢體僵硬、步態不穩之外，也常有幻覺、妄想、起伏不定的認知狀態，記憶力及執行功能等高次大腦機能也逐漸敗壞。</w:t>
      </w:r>
    </w:p>
    <w:p w14:paraId="7C650950" w14:textId="6F7D54C0" w:rsidR="00F74ED5" w:rsidRPr="0028753B" w:rsidRDefault="00F74ED5" w:rsidP="00F74ED5">
      <w:pPr>
        <w:widowControl/>
        <w:adjustRightInd w:val="0"/>
        <w:snapToGrid w:val="0"/>
        <w:spacing w:line="240" w:lineRule="atLeast"/>
        <w:ind w:leftChars="59" w:left="282" w:hangingChars="50" w:hanging="140"/>
        <w:jc w:val="both"/>
        <w:rPr>
          <w:rFonts w:ascii="Times New Roman" w:eastAsia="標楷體" w:hAnsi="Times New Roman"/>
          <w:sz w:val="28"/>
          <w:szCs w:val="28"/>
        </w:rPr>
      </w:pPr>
      <w:r w:rsidRPr="0028753B">
        <w:rPr>
          <w:rFonts w:ascii="Times New Roman" w:eastAsia="標楷體" w:hAnsi="Times New Roman" w:hint="eastAsia"/>
          <w:b/>
          <w:sz w:val="28"/>
          <w:szCs w:val="28"/>
        </w:rPr>
        <w:t>*</w:t>
      </w:r>
      <w:proofErr w:type="gramStart"/>
      <w:r w:rsidRPr="0028753B">
        <w:rPr>
          <w:rFonts w:ascii="Times New Roman" w:eastAsia="標楷體" w:hAnsi="Times New Roman"/>
          <w:b/>
          <w:sz w:val="28"/>
          <w:szCs w:val="28"/>
        </w:rPr>
        <w:t>其他型失智</w:t>
      </w:r>
      <w:proofErr w:type="gramEnd"/>
      <w:r w:rsidRPr="0028753B">
        <w:rPr>
          <w:rFonts w:ascii="Times New Roman" w:eastAsia="標楷體" w:hAnsi="Times New Roman"/>
          <w:b/>
          <w:sz w:val="28"/>
          <w:szCs w:val="28"/>
        </w:rPr>
        <w:t>症</w:t>
      </w:r>
      <w:r w:rsidRPr="0028753B">
        <w:rPr>
          <w:rFonts w:ascii="Times New Roman" w:eastAsia="標楷體" w:hAnsi="Times New Roman"/>
          <w:b/>
          <w:sz w:val="28"/>
          <w:szCs w:val="28"/>
        </w:rPr>
        <w:t>(Other types of dementia)</w:t>
      </w:r>
      <w:r w:rsidRPr="0028753B">
        <w:rPr>
          <w:rFonts w:ascii="Times New Roman" w:eastAsia="標楷體" w:hAnsi="Times New Roman"/>
          <w:sz w:val="28"/>
          <w:szCs w:val="28"/>
        </w:rPr>
        <w:t>：約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佔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5%</w:t>
      </w:r>
      <w:r w:rsidRPr="0028753B">
        <w:rPr>
          <w:rFonts w:ascii="Times New Roman" w:eastAsia="標楷體" w:hAnsi="Times New Roman"/>
          <w:sz w:val="28"/>
          <w:szCs w:val="28"/>
        </w:rPr>
        <w:t>。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其他型失智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症包括與帕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金森病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(Parkinson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’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s disease)</w:t>
      </w:r>
      <w:r w:rsidRPr="0028753B">
        <w:rPr>
          <w:rFonts w:ascii="Times New Roman" w:eastAsia="標楷體" w:hAnsi="Times New Roman"/>
          <w:sz w:val="28"/>
          <w:szCs w:val="28"/>
        </w:rPr>
        <w:t>、亨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廷頓氏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症</w:t>
      </w:r>
      <w:r w:rsidRPr="0028753B">
        <w:rPr>
          <w:rFonts w:ascii="Times New Roman" w:eastAsia="標楷體" w:hAnsi="Times New Roman"/>
          <w:sz w:val="28"/>
          <w:szCs w:val="28"/>
        </w:rPr>
        <w:t>(Huntington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’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s disease)</w:t>
      </w:r>
      <w:r w:rsidRPr="0028753B">
        <w:rPr>
          <w:rFonts w:ascii="Times New Roman" w:eastAsia="標楷體" w:hAnsi="Times New Roman"/>
          <w:sz w:val="28"/>
          <w:szCs w:val="28"/>
        </w:rPr>
        <w:t>、</w:t>
      </w:r>
      <w:proofErr w:type="gramStart"/>
      <w:r w:rsidRPr="0028753B">
        <w:rPr>
          <w:rFonts w:ascii="Times New Roman" w:eastAsia="標楷體" w:hAnsi="Times New Roman"/>
          <w:sz w:val="28"/>
          <w:szCs w:val="28"/>
        </w:rPr>
        <w:t>愛滋病</w:t>
      </w:r>
      <w:proofErr w:type="gramEnd"/>
      <w:r w:rsidRPr="0028753B">
        <w:rPr>
          <w:rFonts w:ascii="Times New Roman" w:eastAsia="標楷體" w:hAnsi="Times New Roman"/>
          <w:sz w:val="28"/>
          <w:szCs w:val="28"/>
        </w:rPr>
        <w:t>(HIV)</w:t>
      </w:r>
      <w:r w:rsidRPr="0028753B">
        <w:rPr>
          <w:rFonts w:ascii="Times New Roman" w:eastAsia="標楷體" w:hAnsi="Times New Roman"/>
          <w:sz w:val="28"/>
          <w:szCs w:val="28"/>
        </w:rPr>
        <w:t>、庫茲菲爾德</w:t>
      </w:r>
      <w:r w:rsidRPr="0028753B">
        <w:rPr>
          <w:rFonts w:ascii="Times New Roman" w:eastAsia="標楷體" w:hAnsi="Times New Roman"/>
          <w:sz w:val="28"/>
          <w:szCs w:val="28"/>
        </w:rPr>
        <w:t>-</w:t>
      </w:r>
      <w:r w:rsidRPr="0028753B">
        <w:rPr>
          <w:rFonts w:ascii="Times New Roman" w:eastAsia="標楷體" w:hAnsi="Times New Roman"/>
          <w:sz w:val="28"/>
          <w:szCs w:val="28"/>
        </w:rPr>
        <w:t>雅各氏症</w:t>
      </w:r>
      <w:r w:rsidRPr="0028753B">
        <w:rPr>
          <w:rFonts w:ascii="Times New Roman" w:eastAsia="標楷體" w:hAnsi="Times New Roman"/>
          <w:sz w:val="28"/>
          <w:szCs w:val="28"/>
        </w:rPr>
        <w:t>(</w:t>
      </w:r>
      <w:proofErr w:type="spellStart"/>
      <w:r w:rsidRPr="0028753B">
        <w:rPr>
          <w:rFonts w:ascii="Times New Roman" w:eastAsia="標楷體" w:hAnsi="Times New Roman"/>
          <w:sz w:val="28"/>
          <w:szCs w:val="28"/>
        </w:rPr>
        <w:t>Crutzfeldt</w:t>
      </w:r>
      <w:proofErr w:type="spellEnd"/>
      <w:r w:rsidRPr="0028753B">
        <w:rPr>
          <w:rFonts w:ascii="Times New Roman" w:eastAsia="標楷體" w:hAnsi="Times New Roman"/>
          <w:sz w:val="28"/>
          <w:szCs w:val="28"/>
        </w:rPr>
        <w:t>-Jakob disease)</w:t>
      </w:r>
      <w:r w:rsidRPr="0028753B">
        <w:rPr>
          <w:rFonts w:ascii="Times New Roman" w:eastAsia="標楷體" w:hAnsi="Times New Roman"/>
          <w:sz w:val="28"/>
          <w:szCs w:val="28"/>
        </w:rPr>
        <w:t>、柯沙科夫症候群</w:t>
      </w:r>
      <w:r w:rsidRPr="0028753B">
        <w:rPr>
          <w:rFonts w:ascii="Times New Roman" w:eastAsia="標楷體" w:hAnsi="Times New Roman"/>
          <w:sz w:val="28"/>
          <w:szCs w:val="28"/>
        </w:rPr>
        <w:t>(Korsakoff syndrome)</w:t>
      </w:r>
      <w:r w:rsidRPr="0028753B">
        <w:rPr>
          <w:rFonts w:ascii="Times New Roman" w:eastAsia="標楷體" w:hAnsi="Times New Roman"/>
          <w:sz w:val="28"/>
          <w:szCs w:val="28"/>
        </w:rPr>
        <w:t>和其他疾病相關的失智症。雖然症狀可能因疾病而異，但與其相關的失智症類似，包括記憶喪失、判斷能力受損、人格改變以及無法執行日常活動等症狀。</w:t>
      </w:r>
    </w:p>
    <w:p w14:paraId="4B2342A4" w14:textId="77777777" w:rsidR="00F74ED5" w:rsidRPr="00617FEA" w:rsidRDefault="00F74ED5" w:rsidP="00617FEA">
      <w:pPr>
        <w:widowControl/>
        <w:numPr>
          <w:ilvl w:val="0"/>
          <w:numId w:val="35"/>
        </w:numPr>
        <w:adjustRightInd w:val="0"/>
        <w:snapToGrid w:val="0"/>
        <w:spacing w:line="240" w:lineRule="atLeast"/>
        <w:ind w:leftChars="-117" w:left="142" w:rightChars="-60" w:right="-144" w:hangingChars="151" w:hanging="42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失智症治療藥物與牙科治療中可能使用藥物間之交互作用：</w:t>
      </w:r>
    </w:p>
    <w:p w14:paraId="22C05BBB" w14:textId="77777777" w:rsidR="00F74ED5" w:rsidRPr="00617FEA" w:rsidRDefault="00F74ED5" w:rsidP="00F74ED5">
      <w:pPr>
        <w:numPr>
          <w:ilvl w:val="0"/>
          <w:numId w:val="38"/>
        </w:numPr>
        <w:autoSpaceDE w:val="0"/>
        <w:autoSpaceDN w:val="0"/>
        <w:adjustRightInd w:val="0"/>
        <w:snapToGrid w:val="0"/>
        <w:spacing w:line="400" w:lineRule="atLeast"/>
        <w:ind w:rightChars="104" w:right="250"/>
        <w:jc w:val="both"/>
        <w:textAlignment w:val="bottom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抗精神病藥物：</w:t>
      </w:r>
    </w:p>
    <w:p w14:paraId="488BD9B8" w14:textId="77777777" w:rsidR="00F74ED5" w:rsidRPr="00617FEA" w:rsidRDefault="00F74ED5" w:rsidP="00617FEA">
      <w:pPr>
        <w:tabs>
          <w:tab w:val="left" w:pos="9638"/>
        </w:tabs>
        <w:autoSpaceDE w:val="0"/>
        <w:autoSpaceDN w:val="0"/>
        <w:adjustRightInd w:val="0"/>
        <w:snapToGrid w:val="0"/>
        <w:spacing w:line="400" w:lineRule="atLeast"/>
        <w:ind w:left="797" w:right="-285"/>
        <w:jc w:val="both"/>
        <w:textAlignment w:val="bottom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與某些抗生素</w:t>
      </w:r>
      <w:r w:rsidRPr="00617FEA">
        <w:rPr>
          <w:rFonts w:ascii="Times New Roman" w:eastAsia="標楷體" w:hAnsi="Times New Roman"/>
          <w:sz w:val="28"/>
          <w:szCs w:val="28"/>
        </w:rPr>
        <w:t>(</w:t>
      </w:r>
      <w:r w:rsidRPr="00617FEA">
        <w:rPr>
          <w:rFonts w:ascii="Times New Roman" w:eastAsia="標楷體" w:hAnsi="Times New Roman"/>
          <w:sz w:val="28"/>
          <w:szCs w:val="28"/>
        </w:rPr>
        <w:t>如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巨環類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抗生素</w:t>
      </w:r>
      <w:r w:rsidRPr="00617FEA">
        <w:rPr>
          <w:rFonts w:ascii="Times New Roman" w:eastAsia="標楷體" w:hAnsi="Times New Roman"/>
          <w:sz w:val="28"/>
          <w:szCs w:val="28"/>
        </w:rPr>
        <w:t>Erythromycin</w:t>
      </w:r>
      <w:r w:rsidRPr="00617FEA">
        <w:rPr>
          <w:rFonts w:ascii="Times New Roman" w:eastAsia="標楷體" w:hAnsi="Times New Roman"/>
          <w:sz w:val="28"/>
          <w:szCs w:val="28"/>
        </w:rPr>
        <w:t>、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奎諾酮類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(Quinolone)</w:t>
      </w:r>
      <w:r w:rsidRPr="00617FEA">
        <w:rPr>
          <w:rFonts w:ascii="Times New Roman" w:eastAsia="標楷體" w:hAnsi="Times New Roman"/>
          <w:sz w:val="28"/>
          <w:szCs w:val="28"/>
        </w:rPr>
        <w:t>抗生素</w:t>
      </w:r>
      <w:r w:rsidRPr="00617FEA">
        <w:rPr>
          <w:rFonts w:ascii="Times New Roman" w:eastAsia="標楷體" w:hAnsi="Times New Roman"/>
          <w:sz w:val="28"/>
          <w:szCs w:val="28"/>
        </w:rPr>
        <w:t>Ciprofloxacin</w:t>
      </w:r>
      <w:r w:rsidRPr="00617FEA">
        <w:rPr>
          <w:rFonts w:ascii="Times New Roman" w:eastAsia="標楷體" w:hAnsi="Times New Roman"/>
          <w:sz w:val="28"/>
          <w:szCs w:val="28"/>
        </w:rPr>
        <w:t>或</w:t>
      </w:r>
      <w:r w:rsidRPr="00617FEA">
        <w:rPr>
          <w:rFonts w:ascii="Times New Roman" w:eastAsia="標楷體" w:hAnsi="Times New Roman"/>
          <w:sz w:val="28"/>
          <w:szCs w:val="28"/>
        </w:rPr>
        <w:t>Levofloxacin</w:t>
      </w:r>
      <w:r w:rsidRPr="00617FEA">
        <w:rPr>
          <w:rFonts w:ascii="Times New Roman" w:eastAsia="標楷體" w:hAnsi="Times New Roman"/>
          <w:sz w:val="28"/>
          <w:szCs w:val="28"/>
        </w:rPr>
        <w:t>、抗真菌藥物</w:t>
      </w:r>
      <w:r w:rsidRPr="00617FEA">
        <w:rPr>
          <w:rFonts w:ascii="Times New Roman" w:eastAsia="標楷體" w:hAnsi="Times New Roman"/>
          <w:sz w:val="28"/>
          <w:szCs w:val="28"/>
        </w:rPr>
        <w:t>Fluoroquinolones</w:t>
      </w:r>
      <w:r w:rsidRPr="00617FEA">
        <w:rPr>
          <w:rFonts w:ascii="Times New Roman" w:eastAsia="標楷體" w:hAnsi="Times New Roman"/>
          <w:sz w:val="28"/>
          <w:szCs w:val="28"/>
        </w:rPr>
        <w:t>或</w:t>
      </w:r>
      <w:r w:rsidRPr="00617FEA">
        <w:rPr>
          <w:rFonts w:ascii="Times New Roman" w:eastAsia="標楷體" w:hAnsi="Times New Roman"/>
          <w:sz w:val="28"/>
          <w:szCs w:val="28"/>
        </w:rPr>
        <w:t>Ketoconazole)</w:t>
      </w:r>
      <w:r w:rsidRPr="00617FEA">
        <w:rPr>
          <w:rFonts w:ascii="Times New Roman" w:eastAsia="標楷體" w:hAnsi="Times New Roman"/>
          <w:sz w:val="28"/>
          <w:szCs w:val="28"/>
        </w:rPr>
        <w:t>可能增加</w:t>
      </w:r>
      <w:r w:rsidRPr="00617FEA">
        <w:rPr>
          <w:rFonts w:ascii="Times New Roman" w:eastAsia="標楷體" w:hAnsi="Times New Roman"/>
          <w:sz w:val="28"/>
          <w:szCs w:val="28"/>
        </w:rPr>
        <w:t>QT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間期延長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風險，需謹慎選擇。</w:t>
      </w:r>
    </w:p>
    <w:p w14:paraId="382C37F1" w14:textId="77777777" w:rsidR="00F74ED5" w:rsidRPr="00617FEA" w:rsidRDefault="00F74ED5" w:rsidP="00F74ED5">
      <w:pPr>
        <w:autoSpaceDE w:val="0"/>
        <w:autoSpaceDN w:val="0"/>
        <w:adjustRightInd w:val="0"/>
        <w:snapToGrid w:val="0"/>
        <w:spacing w:line="400" w:lineRule="atLeast"/>
        <w:ind w:left="797" w:rightChars="104" w:right="250"/>
        <w:jc w:val="both"/>
        <w:textAlignment w:val="bottom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鎮靜劑可能增強中樞神經系統抑制作用，需調整劑量。</w:t>
      </w:r>
    </w:p>
    <w:p w14:paraId="136AF910" w14:textId="77777777" w:rsidR="00F74ED5" w:rsidRPr="00617FEA" w:rsidRDefault="00F74ED5" w:rsidP="00F74ED5">
      <w:pPr>
        <w:numPr>
          <w:ilvl w:val="0"/>
          <w:numId w:val="38"/>
        </w:numPr>
        <w:autoSpaceDE w:val="0"/>
        <w:autoSpaceDN w:val="0"/>
        <w:adjustRightInd w:val="0"/>
        <w:snapToGrid w:val="0"/>
        <w:spacing w:line="400" w:lineRule="atLeast"/>
        <w:ind w:rightChars="104" w:right="250"/>
        <w:jc w:val="both"/>
        <w:textAlignment w:val="bottom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抗抑鬱藥物：</w:t>
      </w:r>
    </w:p>
    <w:p w14:paraId="09E18C7E" w14:textId="77777777" w:rsidR="00F74ED5" w:rsidRPr="00617FEA" w:rsidRDefault="00F74ED5" w:rsidP="00F74ED5">
      <w:pPr>
        <w:autoSpaceDE w:val="0"/>
        <w:autoSpaceDN w:val="0"/>
        <w:adjustRightInd w:val="0"/>
        <w:snapToGrid w:val="0"/>
        <w:spacing w:line="400" w:lineRule="atLeast"/>
        <w:ind w:left="797" w:rightChars="104" w:right="250"/>
        <w:jc w:val="both"/>
        <w:textAlignment w:val="bottom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與某些抗生素可能增加</w:t>
      </w:r>
      <w:r w:rsidRPr="00617FEA">
        <w:rPr>
          <w:rFonts w:ascii="Times New Roman" w:eastAsia="標楷體" w:hAnsi="Times New Roman"/>
          <w:sz w:val="28"/>
          <w:szCs w:val="28"/>
        </w:rPr>
        <w:t>QT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間期延長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風險。</w:t>
      </w:r>
    </w:p>
    <w:p w14:paraId="6295F999" w14:textId="1D70254C" w:rsidR="00F74ED5" w:rsidRPr="00617FEA" w:rsidRDefault="00F74ED5" w:rsidP="00617FEA">
      <w:pPr>
        <w:autoSpaceDE w:val="0"/>
        <w:autoSpaceDN w:val="0"/>
        <w:adjustRightInd w:val="0"/>
        <w:snapToGrid w:val="0"/>
        <w:spacing w:line="400" w:lineRule="atLeast"/>
        <w:ind w:left="797" w:rightChars="104" w:right="250"/>
        <w:jc w:val="both"/>
        <w:textAlignment w:val="bottom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止痛藥可能與抗抑鬱藥物產生藥物交互作用，需調整劑量。</w:t>
      </w: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6974"/>
      </w:tblGrid>
      <w:tr w:rsidR="00F74ED5" w:rsidRPr="00F166C9" w14:paraId="40F609C4" w14:textId="77777777" w:rsidTr="00617FEA">
        <w:trPr>
          <w:tblHeader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954E2E" w14:textId="77777777" w:rsidR="00F74ED5" w:rsidRPr="00F166C9" w:rsidRDefault="00F74ED5" w:rsidP="00F70B11">
            <w:pPr>
              <w:adjustRightInd w:val="0"/>
              <w:snapToGrid w:val="0"/>
              <w:spacing w:line="240" w:lineRule="atLeast"/>
              <w:ind w:rightChars="-45" w:right="-108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已確認</w:t>
            </w: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50E42" w14:textId="77777777" w:rsidR="00F74ED5" w:rsidRPr="00F166C9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6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0C1C2" w14:textId="77777777" w:rsidR="00F74ED5" w:rsidRPr="00F166C9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注意事項</w:t>
            </w:r>
          </w:p>
        </w:tc>
      </w:tr>
      <w:tr w:rsidR="00617FEA" w:rsidRPr="00617FEA" w14:paraId="58A8BF7E" w14:textId="77777777" w:rsidTr="00617FEA"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17953" w14:textId="77777777" w:rsidR="00F74ED5" w:rsidRPr="00617FEA" w:rsidRDefault="00F74ED5" w:rsidP="00FE21FF">
            <w:pPr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9B6CB" w14:textId="77777777" w:rsidR="00F74ED5" w:rsidRPr="00617FEA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</w:pPr>
            <w:r w:rsidRPr="00617FEA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十一、</w:t>
            </w:r>
            <w:r w:rsidRPr="00617FEA"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  <w:t>甲狀腺相關疾病</w:t>
            </w:r>
          </w:p>
          <w:p w14:paraId="5FCF9366" w14:textId="6E4657E5" w:rsidR="00617FEA" w:rsidRPr="00617FEA" w:rsidRDefault="00617FEA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b/>
                <w:kern w:val="0"/>
                <w:sz w:val="28"/>
                <w:szCs w:val="28"/>
                <w:u w:val="single"/>
              </w:rPr>
            </w:pPr>
            <w:r w:rsidRPr="00617FE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(</w:t>
            </w:r>
            <w:r w:rsidRPr="00617FE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備註：</w:t>
            </w:r>
            <w:r w:rsidRPr="00617FE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114</w:t>
            </w:r>
            <w:r w:rsidRPr="00617FE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年新增</w:t>
            </w:r>
            <w:r w:rsidRPr="00617FE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)</w:t>
            </w:r>
          </w:p>
        </w:tc>
        <w:tc>
          <w:tcPr>
            <w:tcW w:w="6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68D0B" w14:textId="77777777" w:rsidR="00F74ED5" w:rsidRPr="00617FEA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proofErr w:type="gramStart"/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一</w:t>
            </w:r>
            <w:proofErr w:type="gramEnd"/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甲狀腺亢進：</w:t>
            </w:r>
          </w:p>
          <w:p w14:paraId="486DA26E" w14:textId="0820B6D4" w:rsidR="00F74ED5" w:rsidRPr="00617FEA" w:rsidRDefault="00F74ED5" w:rsidP="00617FEA">
            <w:pPr>
              <w:pStyle w:val="af3"/>
              <w:numPr>
                <w:ilvl w:val="0"/>
                <w:numId w:val="49"/>
              </w:numPr>
              <w:tabs>
                <w:tab w:val="left" w:pos="7325"/>
              </w:tabs>
              <w:autoSpaceDE w:val="0"/>
              <w:autoSpaceDN w:val="0"/>
              <w:adjustRightInd w:val="0"/>
              <w:snapToGrid w:val="0"/>
              <w:spacing w:line="400" w:lineRule="atLeast"/>
              <w:ind w:leftChars="0" w:rightChars="-32" w:right="-77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查詢健保醫療資訊雲端查詢系統並詢問病人用藥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病史詢問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且記載於病歷。</w:t>
            </w:r>
          </w:p>
          <w:p w14:paraId="30FD4215" w14:textId="778F22E6" w:rsidR="00F74ED5" w:rsidRPr="00617FEA" w:rsidRDefault="00F74ED5" w:rsidP="00617FEA">
            <w:pPr>
              <w:pStyle w:val="af3"/>
              <w:numPr>
                <w:ilvl w:val="0"/>
                <w:numId w:val="49"/>
              </w:numPr>
              <w:tabs>
                <w:tab w:val="left" w:pos="7325"/>
              </w:tabs>
              <w:autoSpaceDE w:val="0"/>
              <w:autoSpaceDN w:val="0"/>
              <w:adjustRightInd w:val="0"/>
              <w:snapToGrid w:val="0"/>
              <w:spacing w:line="400" w:lineRule="atLeast"/>
              <w:ind w:leftChars="0" w:rightChars="-32" w:right="-77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14:paraId="7EDCFD96" w14:textId="36348E02" w:rsidR="00F74ED5" w:rsidRPr="00617FEA" w:rsidRDefault="00F74ED5" w:rsidP="00617FEA">
            <w:pPr>
              <w:pStyle w:val="af3"/>
              <w:numPr>
                <w:ilvl w:val="0"/>
                <w:numId w:val="49"/>
              </w:numPr>
              <w:tabs>
                <w:tab w:val="left" w:pos="7325"/>
              </w:tabs>
              <w:autoSpaceDE w:val="0"/>
              <w:autoSpaceDN w:val="0"/>
              <w:adjustRightInd w:val="0"/>
              <w:snapToGrid w:val="0"/>
              <w:spacing w:line="400" w:lineRule="atLeast"/>
              <w:ind w:leftChars="0" w:rightChars="-32" w:right="-77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注意病人</w:t>
            </w:r>
            <w:proofErr w:type="gramStart"/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進入診間</w:t>
            </w:r>
            <w:proofErr w:type="gramEnd"/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之步態。</w:t>
            </w:r>
          </w:p>
          <w:p w14:paraId="7EF95B26" w14:textId="3D86FEC3" w:rsidR="00F74ED5" w:rsidRPr="00617FEA" w:rsidRDefault="00F74ED5" w:rsidP="00617FEA">
            <w:pPr>
              <w:pStyle w:val="af3"/>
              <w:numPr>
                <w:ilvl w:val="0"/>
                <w:numId w:val="49"/>
              </w:numPr>
              <w:tabs>
                <w:tab w:val="left" w:pos="7325"/>
              </w:tabs>
              <w:autoSpaceDE w:val="0"/>
              <w:autoSpaceDN w:val="0"/>
              <w:adjustRightInd w:val="0"/>
              <w:snapToGrid w:val="0"/>
              <w:spacing w:line="400" w:lineRule="atLeast"/>
              <w:ind w:leftChars="0" w:rightChars="-32" w:right="-77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觀察病人說話是否急躁。</w:t>
            </w:r>
          </w:p>
          <w:p w14:paraId="3F2AC428" w14:textId="74A4518D" w:rsidR="00F74ED5" w:rsidRPr="00617FEA" w:rsidRDefault="00F74ED5" w:rsidP="00617FEA">
            <w:pPr>
              <w:pStyle w:val="af3"/>
              <w:numPr>
                <w:ilvl w:val="0"/>
                <w:numId w:val="49"/>
              </w:numPr>
              <w:tabs>
                <w:tab w:val="left" w:pos="7325"/>
              </w:tabs>
              <w:autoSpaceDE w:val="0"/>
              <w:autoSpaceDN w:val="0"/>
              <w:adjustRightInd w:val="0"/>
              <w:snapToGrid w:val="0"/>
              <w:spacing w:line="400" w:lineRule="atLeast"/>
              <w:ind w:leftChars="0" w:rightChars="-32" w:right="-77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關心病人是否</w:t>
            </w:r>
            <w:proofErr w:type="gramStart"/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有頻便</w:t>
            </w:r>
            <w:proofErr w:type="gramEnd"/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。</w:t>
            </w:r>
          </w:p>
          <w:p w14:paraId="66B3F60A" w14:textId="1ECE4D21" w:rsidR="00F74ED5" w:rsidRPr="00617FEA" w:rsidRDefault="00F74ED5" w:rsidP="00617FEA">
            <w:pPr>
              <w:pStyle w:val="af3"/>
              <w:numPr>
                <w:ilvl w:val="0"/>
                <w:numId w:val="49"/>
              </w:numPr>
              <w:tabs>
                <w:tab w:val="left" w:pos="7325"/>
              </w:tabs>
              <w:autoSpaceDE w:val="0"/>
              <w:autoSpaceDN w:val="0"/>
              <w:adjustRightInd w:val="0"/>
              <w:snapToGrid w:val="0"/>
              <w:spacing w:line="400" w:lineRule="atLeast"/>
              <w:ind w:leftChars="0" w:rightChars="-32" w:right="-77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治療前宜照會</w:t>
            </w:r>
            <w:proofErr w:type="gramEnd"/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相關科的醫師或轉診至其他相關單位做進一步診治。</w:t>
            </w:r>
          </w:p>
          <w:p w14:paraId="20F2D0BA" w14:textId="77777777" w:rsidR="00F74ED5" w:rsidRPr="00617FEA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二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甲狀腺低下：</w:t>
            </w:r>
          </w:p>
          <w:p w14:paraId="1E3E230C" w14:textId="2B6C2477" w:rsidR="00F74ED5" w:rsidRPr="00617FEA" w:rsidRDefault="00F74ED5" w:rsidP="00617FEA">
            <w:pPr>
              <w:pStyle w:val="af3"/>
              <w:numPr>
                <w:ilvl w:val="0"/>
                <w:numId w:val="50"/>
              </w:numPr>
              <w:tabs>
                <w:tab w:val="left" w:pos="7325"/>
              </w:tabs>
              <w:autoSpaceDE w:val="0"/>
              <w:autoSpaceDN w:val="0"/>
              <w:adjustRightInd w:val="0"/>
              <w:snapToGrid w:val="0"/>
              <w:spacing w:line="400" w:lineRule="atLeast"/>
              <w:ind w:leftChars="0" w:rightChars="-32" w:right="-77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查詢健保醫療資訊雲端查詢系統並詢問病人用藥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病史詢問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且記載於病歷。</w:t>
            </w:r>
          </w:p>
          <w:p w14:paraId="50D35508" w14:textId="591EC316" w:rsidR="00F74ED5" w:rsidRPr="00617FEA" w:rsidRDefault="00F74ED5" w:rsidP="00617FEA">
            <w:pPr>
              <w:pStyle w:val="af3"/>
              <w:numPr>
                <w:ilvl w:val="0"/>
                <w:numId w:val="50"/>
              </w:numPr>
              <w:tabs>
                <w:tab w:val="left" w:pos="7325"/>
              </w:tabs>
              <w:autoSpaceDE w:val="0"/>
              <w:autoSpaceDN w:val="0"/>
              <w:adjustRightInd w:val="0"/>
              <w:snapToGrid w:val="0"/>
              <w:spacing w:line="400" w:lineRule="atLeast"/>
              <w:ind w:leftChars="0" w:rightChars="-32" w:right="-77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14:paraId="5671ED4B" w14:textId="18802AD0" w:rsidR="00F74ED5" w:rsidRPr="00617FEA" w:rsidRDefault="00F74ED5" w:rsidP="00617FEA">
            <w:pPr>
              <w:pStyle w:val="af3"/>
              <w:numPr>
                <w:ilvl w:val="0"/>
                <w:numId w:val="50"/>
              </w:numPr>
              <w:tabs>
                <w:tab w:val="left" w:pos="7325"/>
              </w:tabs>
              <w:autoSpaceDE w:val="0"/>
              <w:autoSpaceDN w:val="0"/>
              <w:adjustRightInd w:val="0"/>
              <w:snapToGrid w:val="0"/>
              <w:spacing w:line="400" w:lineRule="atLeast"/>
              <w:ind w:leftChars="0" w:rightChars="-32" w:right="-77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有冠狀動脈疾病者：在治療甲狀腺功能低下的過程中，往往病情會惡化，因為治療中甲狀腺素劑量調整機制時，會有狹心症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(angina)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、心衰竭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 xml:space="preserve">(congestive 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lastRenderedPageBreak/>
              <w:t>heart failure)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或不整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(arrhythmias)</w:t>
            </w: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之現象，所以這類病人在牙醫就醫時，須有內科醫師之意見。</w:t>
            </w:r>
          </w:p>
          <w:p w14:paraId="6BA94AD5" w14:textId="34965783" w:rsidR="00F74ED5" w:rsidRPr="00617FEA" w:rsidRDefault="00F74ED5" w:rsidP="00617FEA">
            <w:pPr>
              <w:pStyle w:val="af3"/>
              <w:numPr>
                <w:ilvl w:val="0"/>
                <w:numId w:val="50"/>
              </w:numPr>
              <w:tabs>
                <w:tab w:val="left" w:pos="7325"/>
              </w:tabs>
              <w:autoSpaceDE w:val="0"/>
              <w:autoSpaceDN w:val="0"/>
              <w:adjustRightInd w:val="0"/>
              <w:snapToGrid w:val="0"/>
              <w:spacing w:line="400" w:lineRule="atLeast"/>
              <w:ind w:leftChars="0" w:rightChars="-32" w:right="-77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  <w:u w:val="single"/>
              </w:rPr>
            </w:pPr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治療前宜照會</w:t>
            </w:r>
            <w:proofErr w:type="gramEnd"/>
            <w:r w:rsidRPr="00617FEA">
              <w:rPr>
                <w:rFonts w:ascii="Times New Roman" w:eastAsia="標楷體" w:hAnsi="Times New Roman"/>
                <w:kern w:val="0"/>
                <w:sz w:val="28"/>
                <w:szCs w:val="28"/>
              </w:rPr>
              <w:t>或轉診至其他相關單位做進一步診治。</w:t>
            </w:r>
          </w:p>
        </w:tc>
      </w:tr>
    </w:tbl>
    <w:p w14:paraId="5CC73730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-236" w:left="426" w:hangingChars="354" w:hanging="992"/>
        <w:jc w:val="both"/>
        <w:rPr>
          <w:rFonts w:ascii="Times New Roman" w:eastAsia="標楷體" w:hAnsi="Times New Roman"/>
          <w:b/>
          <w:sz w:val="28"/>
          <w:szCs w:val="28"/>
        </w:rPr>
      </w:pPr>
      <w:r w:rsidRPr="00617FEA">
        <w:rPr>
          <w:rFonts w:ascii="Times New Roman" w:eastAsia="標楷體" w:hAnsi="Times New Roman"/>
          <w:b/>
          <w:sz w:val="28"/>
          <w:szCs w:val="28"/>
        </w:rPr>
        <w:t>【背景說明</w:t>
      </w:r>
      <w:r w:rsidRPr="00617FEA">
        <w:rPr>
          <w:rFonts w:ascii="Times New Roman" w:eastAsia="標楷體" w:hAnsi="Times New Roman"/>
          <w:b/>
          <w:sz w:val="28"/>
          <w:szCs w:val="28"/>
        </w:rPr>
        <w:t>(</w:t>
      </w:r>
      <w:r w:rsidRPr="00617FEA">
        <w:rPr>
          <w:rFonts w:ascii="Times New Roman" w:eastAsia="標楷體" w:hAnsi="Times New Roman"/>
          <w:b/>
          <w:sz w:val="28"/>
          <w:szCs w:val="28"/>
        </w:rPr>
        <w:t>參考事項</w:t>
      </w:r>
      <w:r w:rsidRPr="00617FEA">
        <w:rPr>
          <w:rFonts w:ascii="Times New Roman" w:eastAsia="標楷體" w:hAnsi="Times New Roman"/>
          <w:b/>
          <w:sz w:val="28"/>
          <w:szCs w:val="28"/>
        </w:rPr>
        <w:t>)</w:t>
      </w:r>
      <w:r w:rsidRPr="00617FEA">
        <w:rPr>
          <w:rFonts w:ascii="Times New Roman" w:eastAsia="標楷體" w:hAnsi="Times New Roman"/>
          <w:b/>
          <w:sz w:val="28"/>
          <w:szCs w:val="28"/>
        </w:rPr>
        <w:t>】</w:t>
      </w:r>
    </w:p>
    <w:p w14:paraId="619D1449" w14:textId="77777777" w:rsidR="00F74ED5" w:rsidRPr="00617FEA" w:rsidRDefault="00F74ED5" w:rsidP="00F74ED5">
      <w:pPr>
        <w:widowControl/>
        <w:numPr>
          <w:ilvl w:val="0"/>
          <w:numId w:val="33"/>
        </w:numPr>
        <w:adjustRightInd w:val="0"/>
        <w:snapToGrid w:val="0"/>
        <w:spacing w:line="240" w:lineRule="atLeast"/>
        <w:ind w:leftChars="-60" w:left="139" w:hangingChars="101" w:hanging="28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甲狀腺機能亢進臨床表現</w:t>
      </w:r>
    </w:p>
    <w:p w14:paraId="62202B47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59" w:left="425" w:hangingChars="101" w:hanging="28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(1)</w:t>
      </w:r>
      <w:r w:rsidRPr="00617FEA">
        <w:rPr>
          <w:rFonts w:ascii="Times New Roman" w:eastAsia="標楷體" w:hAnsi="Times New Roman"/>
          <w:sz w:val="28"/>
          <w:szCs w:val="28"/>
        </w:rPr>
        <w:t>症狀</w:t>
      </w:r>
    </w:p>
    <w:p w14:paraId="07293F2D" w14:textId="77777777" w:rsidR="00F74ED5" w:rsidRPr="00617FEA" w:rsidRDefault="00F74ED5" w:rsidP="00F74ED5">
      <w:pPr>
        <w:widowControl/>
        <w:numPr>
          <w:ilvl w:val="0"/>
          <w:numId w:val="39"/>
        </w:numPr>
        <w:adjustRightInd w:val="0"/>
        <w:snapToGrid w:val="0"/>
        <w:spacing w:line="240" w:lineRule="atLeast"/>
        <w:ind w:firstLine="65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容易緊張、情緒劇烈起伏、坐立不安</w:t>
      </w:r>
    </w:p>
    <w:p w14:paraId="546968E7" w14:textId="77777777" w:rsidR="00F74ED5" w:rsidRPr="00617FEA" w:rsidRDefault="00F74ED5" w:rsidP="00F74ED5">
      <w:pPr>
        <w:widowControl/>
        <w:numPr>
          <w:ilvl w:val="0"/>
          <w:numId w:val="39"/>
        </w:numPr>
        <w:adjustRightInd w:val="0"/>
        <w:snapToGrid w:val="0"/>
        <w:spacing w:line="240" w:lineRule="atLeast"/>
        <w:ind w:firstLine="65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不耐熱、易流汗</w:t>
      </w:r>
    </w:p>
    <w:p w14:paraId="6AEA51AA" w14:textId="77777777" w:rsidR="00F74ED5" w:rsidRPr="00617FEA" w:rsidRDefault="00F74ED5" w:rsidP="00F74ED5">
      <w:pPr>
        <w:widowControl/>
        <w:numPr>
          <w:ilvl w:val="0"/>
          <w:numId w:val="39"/>
        </w:numPr>
        <w:adjustRightInd w:val="0"/>
        <w:snapToGrid w:val="0"/>
        <w:spacing w:line="240" w:lineRule="atLeast"/>
        <w:ind w:firstLine="65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疲倦、無力、抽筋</w:t>
      </w:r>
    </w:p>
    <w:p w14:paraId="3A4BC83D" w14:textId="77777777" w:rsidR="00F74ED5" w:rsidRPr="00617FEA" w:rsidRDefault="00F74ED5" w:rsidP="00F74ED5">
      <w:pPr>
        <w:widowControl/>
        <w:numPr>
          <w:ilvl w:val="0"/>
          <w:numId w:val="39"/>
        </w:numPr>
        <w:adjustRightInd w:val="0"/>
        <w:snapToGrid w:val="0"/>
        <w:spacing w:line="240" w:lineRule="atLeast"/>
        <w:ind w:firstLine="65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心悸、胸痛</w:t>
      </w:r>
    </w:p>
    <w:p w14:paraId="084DB224" w14:textId="77777777" w:rsidR="00F74ED5" w:rsidRPr="00617FEA" w:rsidRDefault="00F74ED5" w:rsidP="00F74ED5">
      <w:pPr>
        <w:widowControl/>
        <w:numPr>
          <w:ilvl w:val="0"/>
          <w:numId w:val="39"/>
        </w:numPr>
        <w:adjustRightInd w:val="0"/>
        <w:snapToGrid w:val="0"/>
        <w:spacing w:line="240" w:lineRule="atLeast"/>
        <w:ind w:firstLine="65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食量增多但體重減輕；排便增加但非腹瀉</w:t>
      </w:r>
    </w:p>
    <w:p w14:paraId="27B7CAB9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59" w:left="425" w:hangingChars="101" w:hanging="28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(2)</w:t>
      </w:r>
      <w:r w:rsidRPr="00617FEA">
        <w:rPr>
          <w:rFonts w:ascii="Times New Roman" w:eastAsia="標楷體" w:hAnsi="Times New Roman"/>
          <w:sz w:val="28"/>
          <w:szCs w:val="28"/>
        </w:rPr>
        <w:t>徵候</w:t>
      </w:r>
    </w:p>
    <w:p w14:paraId="50E8E529" w14:textId="77777777" w:rsidR="00F74ED5" w:rsidRPr="00617FEA" w:rsidRDefault="00F74ED5" w:rsidP="00617FEA">
      <w:pPr>
        <w:widowControl/>
        <w:numPr>
          <w:ilvl w:val="0"/>
          <w:numId w:val="40"/>
        </w:numPr>
        <w:adjustRightInd w:val="0"/>
        <w:snapToGrid w:val="0"/>
        <w:spacing w:line="240" w:lineRule="atLeast"/>
        <w:ind w:left="993" w:rightChars="-60" w:right="-144" w:hanging="426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躁動、焦慮</w:t>
      </w:r>
    </w:p>
    <w:p w14:paraId="11AC3A74" w14:textId="77777777" w:rsidR="00F74ED5" w:rsidRPr="00617FEA" w:rsidRDefault="00F74ED5" w:rsidP="00617FEA">
      <w:pPr>
        <w:widowControl/>
        <w:numPr>
          <w:ilvl w:val="0"/>
          <w:numId w:val="40"/>
        </w:numPr>
        <w:adjustRightInd w:val="0"/>
        <w:snapToGrid w:val="0"/>
        <w:spacing w:line="240" w:lineRule="atLeast"/>
        <w:ind w:left="993" w:rightChars="-60" w:right="-144" w:hanging="426"/>
        <w:jc w:val="both"/>
        <w:rPr>
          <w:rFonts w:ascii="Times New Roman" w:eastAsia="標楷體" w:hAnsi="Times New Roman"/>
          <w:sz w:val="28"/>
          <w:szCs w:val="28"/>
        </w:rPr>
      </w:pPr>
      <w:proofErr w:type="gramStart"/>
      <w:r w:rsidRPr="00617FEA">
        <w:rPr>
          <w:rFonts w:ascii="Times New Roman" w:eastAsia="標楷體" w:hAnsi="Times New Roman"/>
          <w:sz w:val="28"/>
          <w:szCs w:val="28"/>
        </w:rPr>
        <w:t>暖而濕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的手掌</w:t>
      </w:r>
    </w:p>
    <w:p w14:paraId="174B1E7A" w14:textId="77777777" w:rsidR="00F74ED5" w:rsidRPr="00617FEA" w:rsidRDefault="00F74ED5" w:rsidP="00617FEA">
      <w:pPr>
        <w:widowControl/>
        <w:numPr>
          <w:ilvl w:val="0"/>
          <w:numId w:val="40"/>
        </w:numPr>
        <w:adjustRightInd w:val="0"/>
        <w:snapToGrid w:val="0"/>
        <w:spacing w:line="240" w:lineRule="atLeast"/>
        <w:ind w:left="993" w:rightChars="-60" w:right="-144" w:hanging="426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瞪、眼瞼運動遲滯</w:t>
      </w:r>
    </w:p>
    <w:p w14:paraId="37DCF9D9" w14:textId="77777777" w:rsidR="00F74ED5" w:rsidRPr="00617FEA" w:rsidRDefault="00F74ED5" w:rsidP="00617FEA">
      <w:pPr>
        <w:widowControl/>
        <w:numPr>
          <w:ilvl w:val="0"/>
          <w:numId w:val="40"/>
        </w:numPr>
        <w:adjustRightInd w:val="0"/>
        <w:snapToGrid w:val="0"/>
        <w:spacing w:line="240" w:lineRule="atLeast"/>
        <w:ind w:left="993" w:rightChars="-60" w:right="-144" w:hanging="426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微顫抖、反射增加</w:t>
      </w:r>
    </w:p>
    <w:p w14:paraId="3369D745" w14:textId="77777777" w:rsidR="00F74ED5" w:rsidRPr="00617FEA" w:rsidRDefault="00F74ED5" w:rsidP="00617FEA">
      <w:pPr>
        <w:widowControl/>
        <w:numPr>
          <w:ilvl w:val="0"/>
          <w:numId w:val="40"/>
        </w:numPr>
        <w:adjustRightInd w:val="0"/>
        <w:snapToGrid w:val="0"/>
        <w:spacing w:line="240" w:lineRule="atLeast"/>
        <w:ind w:left="993" w:rightChars="-60" w:right="-144" w:hanging="426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波形不規則的不規則心跳</w:t>
      </w:r>
      <w:r w:rsidRPr="00617FEA">
        <w:rPr>
          <w:rFonts w:ascii="Times New Roman" w:eastAsia="標楷體" w:hAnsi="Times New Roman"/>
          <w:sz w:val="28"/>
          <w:szCs w:val="28"/>
        </w:rPr>
        <w:t>(</w:t>
      </w:r>
      <w:r w:rsidRPr="00617FEA">
        <w:rPr>
          <w:rFonts w:ascii="Times New Roman" w:eastAsia="標楷體" w:hAnsi="Times New Roman"/>
          <w:sz w:val="28"/>
          <w:szCs w:val="28"/>
        </w:rPr>
        <w:t>心房顫動的一個徵候</w:t>
      </w:r>
      <w:r w:rsidRPr="00617FEA">
        <w:rPr>
          <w:rFonts w:ascii="Times New Roman" w:eastAsia="標楷體" w:hAnsi="Times New Roman"/>
          <w:sz w:val="28"/>
          <w:szCs w:val="28"/>
        </w:rPr>
        <w:t>)</w:t>
      </w:r>
      <w:r w:rsidRPr="00617FEA">
        <w:rPr>
          <w:rFonts w:ascii="Times New Roman" w:eastAsia="標楷體" w:hAnsi="Times New Roman"/>
          <w:sz w:val="28"/>
          <w:szCs w:val="28"/>
        </w:rPr>
        <w:t>、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脈壓增加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及較少見的高心輸出心衰竭。</w:t>
      </w:r>
    </w:p>
    <w:p w14:paraId="7E7438F2" w14:textId="77777777" w:rsidR="00F74ED5" w:rsidRPr="00617FEA" w:rsidRDefault="00F74ED5" w:rsidP="00617FEA">
      <w:pPr>
        <w:widowControl/>
        <w:numPr>
          <w:ilvl w:val="0"/>
          <w:numId w:val="33"/>
        </w:numPr>
        <w:adjustRightInd w:val="0"/>
        <w:snapToGrid w:val="0"/>
        <w:spacing w:line="240" w:lineRule="atLeast"/>
        <w:ind w:leftChars="-58" w:left="144" w:rightChars="-118" w:right="-283" w:hangingChars="101" w:hanging="28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甲狀腺疾病是指影響甲狀腺功能或結構的各種病症。甲狀腺是一個位於頸部的蝴蝶狀腺體，負責分泌甲狀腺激素</w:t>
      </w:r>
      <w:r w:rsidRPr="00617FEA">
        <w:rPr>
          <w:rFonts w:ascii="Times New Roman" w:eastAsia="標楷體" w:hAnsi="Times New Roman"/>
          <w:sz w:val="28"/>
          <w:szCs w:val="28"/>
        </w:rPr>
        <w:t>(</w:t>
      </w:r>
      <w:r w:rsidRPr="00617FEA">
        <w:rPr>
          <w:rFonts w:ascii="Times New Roman" w:eastAsia="標楷體" w:hAnsi="Times New Roman"/>
          <w:sz w:val="28"/>
          <w:szCs w:val="28"/>
        </w:rPr>
        <w:t>包括</w:t>
      </w:r>
      <w:r w:rsidRPr="00617FEA">
        <w:rPr>
          <w:rFonts w:ascii="Times New Roman" w:eastAsia="標楷體" w:hAnsi="Times New Roman"/>
          <w:sz w:val="28"/>
          <w:szCs w:val="28"/>
        </w:rPr>
        <w:t>free T3</w:t>
      </w:r>
      <w:r w:rsidRPr="00617FEA">
        <w:rPr>
          <w:rFonts w:ascii="Times New Roman" w:eastAsia="標楷體" w:hAnsi="Times New Roman"/>
          <w:sz w:val="28"/>
          <w:szCs w:val="28"/>
        </w:rPr>
        <w:t>和</w:t>
      </w:r>
      <w:r w:rsidRPr="00617FEA">
        <w:rPr>
          <w:rFonts w:ascii="Times New Roman" w:eastAsia="標楷體" w:hAnsi="Times New Roman"/>
          <w:sz w:val="28"/>
          <w:szCs w:val="28"/>
        </w:rPr>
        <w:t>T4)</w:t>
      </w:r>
      <w:r w:rsidRPr="00617FEA">
        <w:rPr>
          <w:rFonts w:ascii="Times New Roman" w:eastAsia="標楷體" w:hAnsi="Times New Roman"/>
          <w:sz w:val="28"/>
          <w:szCs w:val="28"/>
        </w:rPr>
        <w:t>，這些激素在調節新陳代謝、能量消耗、體溫和心臟功能等方面起著重要作用。</w:t>
      </w:r>
    </w:p>
    <w:p w14:paraId="4BB995AC" w14:textId="77777777" w:rsidR="00F74ED5" w:rsidRPr="00617FEA" w:rsidRDefault="00F74ED5" w:rsidP="00617FEA">
      <w:pPr>
        <w:widowControl/>
        <w:numPr>
          <w:ilvl w:val="0"/>
          <w:numId w:val="33"/>
        </w:numPr>
        <w:adjustRightInd w:val="0"/>
        <w:snapToGrid w:val="0"/>
        <w:spacing w:line="240" w:lineRule="atLeast"/>
        <w:ind w:leftChars="-58" w:left="144" w:rightChars="-118" w:right="-283" w:hangingChars="101" w:hanging="28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甲</w:t>
      </w:r>
      <w:r w:rsidRPr="00617FEA">
        <w:rPr>
          <w:rFonts w:ascii="Times New Roman" w:eastAsia="標楷體" w:hAnsi="Times New Roman"/>
          <w:spacing w:val="1"/>
          <w:sz w:val="28"/>
          <w:szCs w:val="28"/>
        </w:rPr>
        <w:t>狀</w:t>
      </w:r>
      <w:r w:rsidRPr="00617FEA">
        <w:rPr>
          <w:rFonts w:ascii="Times New Roman" w:eastAsia="標楷體" w:hAnsi="Times New Roman"/>
          <w:sz w:val="28"/>
          <w:szCs w:val="28"/>
        </w:rPr>
        <w:t>腺功能檢</w:t>
      </w:r>
      <w:r w:rsidRPr="00617FEA">
        <w:rPr>
          <w:rFonts w:ascii="Times New Roman" w:eastAsia="標楷體" w:hAnsi="Times New Roman"/>
          <w:spacing w:val="1"/>
          <w:sz w:val="28"/>
          <w:szCs w:val="28"/>
        </w:rPr>
        <w:t>驗</w:t>
      </w:r>
      <w:r w:rsidRPr="00617FEA">
        <w:rPr>
          <w:rFonts w:ascii="Times New Roman" w:eastAsia="標楷體" w:hAnsi="Times New Roman"/>
          <w:sz w:val="28"/>
          <w:szCs w:val="28"/>
        </w:rPr>
        <w:t>項目及正</w:t>
      </w:r>
      <w:r w:rsidRPr="00617FEA">
        <w:rPr>
          <w:rFonts w:ascii="Times New Roman" w:eastAsia="標楷體" w:hAnsi="Times New Roman"/>
          <w:spacing w:val="1"/>
          <w:sz w:val="28"/>
          <w:szCs w:val="28"/>
        </w:rPr>
        <w:t>常</w:t>
      </w:r>
      <w:r w:rsidRPr="00617FEA">
        <w:rPr>
          <w:rFonts w:ascii="Times New Roman" w:eastAsia="標楷體" w:hAnsi="Times New Roman"/>
          <w:sz w:val="28"/>
          <w:szCs w:val="28"/>
        </w:rPr>
        <w:t>值</w:t>
      </w:r>
    </w:p>
    <w:tbl>
      <w:tblPr>
        <w:tblW w:w="9216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71"/>
        <w:gridCol w:w="2552"/>
        <w:gridCol w:w="1421"/>
        <w:gridCol w:w="3972"/>
      </w:tblGrid>
      <w:tr w:rsidR="00617FEA" w:rsidRPr="00617FEA" w14:paraId="3581E232" w14:textId="77777777" w:rsidTr="00617FEA">
        <w:trPr>
          <w:trHeight w:val="330"/>
          <w:jc w:val="right"/>
        </w:trPr>
        <w:tc>
          <w:tcPr>
            <w:tcW w:w="1271" w:type="dxa"/>
            <w:shd w:val="clear" w:color="auto" w:fill="auto"/>
            <w:noWrap/>
            <w:vAlign w:val="center"/>
            <w:hideMark/>
          </w:tcPr>
          <w:p w14:paraId="29AFC7C5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疾病類別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578F93B3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檢查項目</w:t>
            </w:r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3A2230A4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正常值範圍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4CB0CBA9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jc w:val="center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說明</w:t>
            </w:r>
          </w:p>
        </w:tc>
      </w:tr>
      <w:tr w:rsidR="00617FEA" w:rsidRPr="00617FEA" w14:paraId="70501930" w14:textId="77777777" w:rsidTr="00617FEA">
        <w:trPr>
          <w:trHeight w:val="330"/>
          <w:jc w:val="right"/>
        </w:trPr>
        <w:tc>
          <w:tcPr>
            <w:tcW w:w="1271" w:type="dxa"/>
            <w:vMerge w:val="restart"/>
            <w:shd w:val="clear" w:color="auto" w:fill="auto"/>
            <w:noWrap/>
            <w:hideMark/>
          </w:tcPr>
          <w:p w14:paraId="52CF5CCC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甲狀腺功能</w:t>
            </w:r>
          </w:p>
          <w:p w14:paraId="7827E6A2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亢進症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2DC7BD9A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TSH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甲狀腺刺激激素</w:t>
            </w:r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62C19463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 xml:space="preserve">0.4-4.0 </w:t>
            </w:r>
            <w:proofErr w:type="spell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mIU</w:t>
            </w:r>
            <w:proofErr w:type="spell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/L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376672D5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</w:t>
            </w:r>
            <w:proofErr w:type="gram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亢</w:t>
            </w:r>
            <w:proofErr w:type="gram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時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TSH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通常低於正常範圍</w:t>
            </w:r>
          </w:p>
        </w:tc>
      </w:tr>
      <w:tr w:rsidR="00617FEA" w:rsidRPr="00617FEA" w14:paraId="64E3F56E" w14:textId="77777777" w:rsidTr="00617FEA">
        <w:trPr>
          <w:trHeight w:val="330"/>
          <w:jc w:val="right"/>
        </w:trPr>
        <w:tc>
          <w:tcPr>
            <w:tcW w:w="1271" w:type="dxa"/>
            <w:vMerge/>
            <w:shd w:val="clear" w:color="auto" w:fill="auto"/>
            <w:noWrap/>
            <w:hideMark/>
          </w:tcPr>
          <w:p w14:paraId="4BE32F09" w14:textId="77777777" w:rsidR="00F74ED5" w:rsidRPr="00617FEA" w:rsidRDefault="00F74ED5" w:rsidP="00FE21FF">
            <w:pPr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65905BFC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FT4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游離甲狀腺素</w:t>
            </w:r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6E25CC14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0.8-2.0 ng/dL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3B130CEF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</w:t>
            </w:r>
            <w:proofErr w:type="gram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亢</w:t>
            </w:r>
            <w:proofErr w:type="gram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時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FT4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通常高於正常範圍</w:t>
            </w:r>
          </w:p>
        </w:tc>
      </w:tr>
      <w:tr w:rsidR="00617FEA" w:rsidRPr="00617FEA" w14:paraId="5F06DBFB" w14:textId="77777777" w:rsidTr="00617FEA">
        <w:trPr>
          <w:trHeight w:val="330"/>
          <w:jc w:val="right"/>
        </w:trPr>
        <w:tc>
          <w:tcPr>
            <w:tcW w:w="1271" w:type="dxa"/>
            <w:vMerge/>
            <w:shd w:val="clear" w:color="auto" w:fill="auto"/>
            <w:noWrap/>
            <w:hideMark/>
          </w:tcPr>
          <w:p w14:paraId="184B572D" w14:textId="77777777" w:rsidR="00F74ED5" w:rsidRPr="00617FEA" w:rsidRDefault="00F74ED5" w:rsidP="00FE21FF">
            <w:pPr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1D5C2780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FT3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游離三</w:t>
            </w:r>
            <w:proofErr w:type="gram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碘甲腺素</w:t>
            </w:r>
            <w:proofErr w:type="gramEnd"/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73641E48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 xml:space="preserve">2.3-4.2 </w:t>
            </w:r>
            <w:proofErr w:type="spell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pg</w:t>
            </w:r>
            <w:proofErr w:type="spell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/mL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62EAA69E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</w:t>
            </w:r>
            <w:proofErr w:type="gram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亢</w:t>
            </w:r>
            <w:proofErr w:type="gram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時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FT3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通常高於正常範圍</w:t>
            </w:r>
          </w:p>
        </w:tc>
      </w:tr>
      <w:tr w:rsidR="00617FEA" w:rsidRPr="00617FEA" w14:paraId="3BB1B00F" w14:textId="77777777" w:rsidTr="00617FEA">
        <w:trPr>
          <w:trHeight w:val="330"/>
          <w:jc w:val="right"/>
        </w:trPr>
        <w:tc>
          <w:tcPr>
            <w:tcW w:w="1271" w:type="dxa"/>
            <w:vMerge/>
            <w:shd w:val="clear" w:color="auto" w:fill="auto"/>
            <w:noWrap/>
            <w:hideMark/>
          </w:tcPr>
          <w:p w14:paraId="25320B32" w14:textId="77777777" w:rsidR="00F74ED5" w:rsidRPr="00617FEA" w:rsidRDefault="00F74ED5" w:rsidP="00FE21FF">
            <w:pPr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0BE43CEE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TRAb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甲狀腺素受體抗體</w:t>
            </w:r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4E02400A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&lt;1.75 IU/L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475FA7B5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格雷夫茲病患者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TRAb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通常高於正常範圍</w:t>
            </w:r>
          </w:p>
        </w:tc>
      </w:tr>
      <w:tr w:rsidR="00617FEA" w:rsidRPr="00617FEA" w14:paraId="084672BA" w14:textId="77777777" w:rsidTr="00617FEA">
        <w:trPr>
          <w:trHeight w:val="330"/>
          <w:jc w:val="right"/>
        </w:trPr>
        <w:tc>
          <w:tcPr>
            <w:tcW w:w="1271" w:type="dxa"/>
            <w:vMerge/>
            <w:shd w:val="clear" w:color="auto" w:fill="auto"/>
            <w:noWrap/>
            <w:hideMark/>
          </w:tcPr>
          <w:p w14:paraId="2ABBF91B" w14:textId="77777777" w:rsidR="00F74ED5" w:rsidRPr="00617FEA" w:rsidRDefault="00F74ED5" w:rsidP="00FE21FF">
            <w:pPr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0850497E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RAIU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</w:t>
            </w:r>
            <w:proofErr w:type="gram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攝碘率</w:t>
            </w:r>
            <w:proofErr w:type="gramEnd"/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0B202198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正常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:24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小時</w:t>
            </w:r>
          </w:p>
          <w:p w14:paraId="6AB58E3F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15-35%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521EF268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</w:t>
            </w:r>
            <w:proofErr w:type="gram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亢</w:t>
            </w:r>
            <w:proofErr w:type="gram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時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RAIU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通常高於正常範圍</w:t>
            </w:r>
          </w:p>
        </w:tc>
      </w:tr>
      <w:tr w:rsidR="00617FEA" w:rsidRPr="00617FEA" w14:paraId="77456C83" w14:textId="77777777" w:rsidTr="00617FEA">
        <w:trPr>
          <w:trHeight w:val="330"/>
          <w:jc w:val="right"/>
        </w:trPr>
        <w:tc>
          <w:tcPr>
            <w:tcW w:w="1271" w:type="dxa"/>
            <w:vMerge w:val="restart"/>
            <w:shd w:val="clear" w:color="auto" w:fill="auto"/>
            <w:noWrap/>
            <w:hideMark/>
          </w:tcPr>
          <w:p w14:paraId="11ABEF1D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甲狀腺功能</w:t>
            </w:r>
          </w:p>
          <w:p w14:paraId="0C00DF17" w14:textId="77777777" w:rsidR="00F74ED5" w:rsidRPr="00617FEA" w:rsidRDefault="00F74ED5" w:rsidP="00FE21FF">
            <w:pPr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低下症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187B27A3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TSH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甲狀腺刺激激素</w:t>
            </w:r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47AC471F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 xml:space="preserve">0.4-4.0 </w:t>
            </w:r>
            <w:proofErr w:type="spell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mIU</w:t>
            </w:r>
            <w:proofErr w:type="spell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/L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37313EDD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proofErr w:type="gram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甲低時</w:t>
            </w:r>
            <w:proofErr w:type="gram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TSH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通常高於正常範圍</w:t>
            </w:r>
          </w:p>
        </w:tc>
      </w:tr>
      <w:tr w:rsidR="00617FEA" w:rsidRPr="00617FEA" w14:paraId="387E1DD2" w14:textId="77777777" w:rsidTr="00617FEA">
        <w:trPr>
          <w:trHeight w:val="330"/>
          <w:jc w:val="right"/>
        </w:trPr>
        <w:tc>
          <w:tcPr>
            <w:tcW w:w="1271" w:type="dxa"/>
            <w:vMerge/>
            <w:shd w:val="clear" w:color="auto" w:fill="auto"/>
            <w:noWrap/>
            <w:hideMark/>
          </w:tcPr>
          <w:p w14:paraId="3D60E1B0" w14:textId="77777777" w:rsidR="00F74ED5" w:rsidRPr="00617FEA" w:rsidRDefault="00F74ED5" w:rsidP="00FE21FF">
            <w:pPr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48BEFFC5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FT4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游離甲狀腺素</w:t>
            </w:r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6266F272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0.8-2.0 ng/dL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226FDD00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proofErr w:type="gram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甲低時</w:t>
            </w:r>
            <w:proofErr w:type="gram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FT4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通常低於正常範圍</w:t>
            </w:r>
          </w:p>
        </w:tc>
      </w:tr>
      <w:tr w:rsidR="00617FEA" w:rsidRPr="00617FEA" w14:paraId="1E169752" w14:textId="77777777" w:rsidTr="00617FEA">
        <w:trPr>
          <w:trHeight w:val="330"/>
          <w:jc w:val="right"/>
        </w:trPr>
        <w:tc>
          <w:tcPr>
            <w:tcW w:w="1271" w:type="dxa"/>
            <w:vMerge/>
            <w:shd w:val="clear" w:color="auto" w:fill="auto"/>
            <w:noWrap/>
            <w:hideMark/>
          </w:tcPr>
          <w:p w14:paraId="594ACC71" w14:textId="77777777" w:rsidR="00F74ED5" w:rsidRPr="00617FEA" w:rsidRDefault="00F74ED5" w:rsidP="00FE21FF">
            <w:pPr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2591EC03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proofErr w:type="spell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TPOAb</w:t>
            </w:r>
            <w:proofErr w:type="spell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甲狀腺過氧化物酶抗體</w:t>
            </w:r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6A17E436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&lt;35 IU/mL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319AE381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橋本氏甲狀腺炎患者</w:t>
            </w:r>
            <w:proofErr w:type="spell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TPOAb</w:t>
            </w:r>
            <w:proofErr w:type="spell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通常高於正常範圍</w:t>
            </w:r>
          </w:p>
        </w:tc>
      </w:tr>
      <w:tr w:rsidR="00617FEA" w:rsidRPr="00617FEA" w14:paraId="61A95E9B" w14:textId="77777777" w:rsidTr="00617FEA">
        <w:trPr>
          <w:trHeight w:val="330"/>
          <w:jc w:val="right"/>
        </w:trPr>
        <w:tc>
          <w:tcPr>
            <w:tcW w:w="1271" w:type="dxa"/>
            <w:vMerge/>
            <w:shd w:val="clear" w:color="auto" w:fill="auto"/>
            <w:noWrap/>
            <w:hideMark/>
          </w:tcPr>
          <w:p w14:paraId="63B7D4E4" w14:textId="77777777" w:rsidR="00F74ED5" w:rsidRPr="00617FEA" w:rsidRDefault="00F74ED5" w:rsidP="00FE21FF">
            <w:pPr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1E6F2032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proofErr w:type="spell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TgAb</w:t>
            </w:r>
            <w:proofErr w:type="spell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甲狀腺球蛋白抗體</w:t>
            </w:r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2832F130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&lt;20 IU/mL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455B7BCE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橋本氏甲狀腺炎患者</w:t>
            </w:r>
            <w:proofErr w:type="spell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TgAb</w:t>
            </w:r>
            <w:proofErr w:type="spell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通常高於正常範圍</w:t>
            </w:r>
          </w:p>
        </w:tc>
      </w:tr>
      <w:tr w:rsidR="00617FEA" w:rsidRPr="00617FEA" w14:paraId="65ACE573" w14:textId="77777777" w:rsidTr="00617FEA">
        <w:trPr>
          <w:trHeight w:val="330"/>
          <w:jc w:val="right"/>
        </w:trPr>
        <w:tc>
          <w:tcPr>
            <w:tcW w:w="1271" w:type="dxa"/>
            <w:vMerge w:val="restart"/>
            <w:shd w:val="clear" w:color="auto" w:fill="auto"/>
            <w:noWrap/>
            <w:hideMark/>
          </w:tcPr>
          <w:p w14:paraId="399F592B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甲狀腺結節</w:t>
            </w:r>
          </w:p>
          <w:p w14:paraId="312C9FF0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和癌症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18008172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甲狀腺超音波</w:t>
            </w:r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6672C249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正常甲狀腺結構和大小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5B945C7C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用於檢查甲狀腺結節和結構異常</w:t>
            </w:r>
          </w:p>
        </w:tc>
      </w:tr>
      <w:tr w:rsidR="00617FEA" w:rsidRPr="00617FEA" w14:paraId="38BE26F7" w14:textId="77777777" w:rsidTr="00617FEA">
        <w:trPr>
          <w:trHeight w:val="330"/>
          <w:jc w:val="right"/>
        </w:trPr>
        <w:tc>
          <w:tcPr>
            <w:tcW w:w="1271" w:type="dxa"/>
            <w:vMerge/>
            <w:shd w:val="clear" w:color="auto" w:fill="auto"/>
            <w:noWrap/>
            <w:hideMark/>
          </w:tcPr>
          <w:p w14:paraId="34EB55E7" w14:textId="77777777" w:rsidR="00F74ED5" w:rsidRPr="00617FEA" w:rsidRDefault="00F74ED5" w:rsidP="00FE21FF">
            <w:pPr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434B52B0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proofErr w:type="spell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Tg</w:t>
            </w:r>
            <w:proofErr w:type="spell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甲狀腺球蛋白</w:t>
            </w:r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3BB006A0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3-40 ng/mL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6AFAF60C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甲狀腺癌患者術</w:t>
            </w:r>
            <w:proofErr w:type="gram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後隨訪中的</w:t>
            </w:r>
            <w:proofErr w:type="gramEnd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腫瘤標誌</w:t>
            </w:r>
          </w:p>
        </w:tc>
      </w:tr>
      <w:tr w:rsidR="00617FEA" w:rsidRPr="00617FEA" w14:paraId="5A8C3BF5" w14:textId="77777777" w:rsidTr="00617FEA">
        <w:trPr>
          <w:trHeight w:val="330"/>
          <w:jc w:val="right"/>
        </w:trPr>
        <w:tc>
          <w:tcPr>
            <w:tcW w:w="1271" w:type="dxa"/>
            <w:vMerge/>
            <w:shd w:val="clear" w:color="auto" w:fill="auto"/>
            <w:noWrap/>
            <w:hideMark/>
          </w:tcPr>
          <w:p w14:paraId="71E9AE44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2CCF4D0F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proofErr w:type="spell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TgAb</w:t>
            </w:r>
            <w:proofErr w:type="spellEnd"/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27CBF0B9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&lt;20 IU/mL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55DEAC7E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干擾甲狀腺球蛋白測定結果</w:t>
            </w:r>
          </w:p>
        </w:tc>
      </w:tr>
      <w:tr w:rsidR="00617FEA" w:rsidRPr="00617FEA" w14:paraId="30856378" w14:textId="77777777" w:rsidTr="00617FEA">
        <w:trPr>
          <w:trHeight w:val="330"/>
          <w:jc w:val="right"/>
        </w:trPr>
        <w:tc>
          <w:tcPr>
            <w:tcW w:w="1271" w:type="dxa"/>
            <w:vMerge w:val="restart"/>
            <w:shd w:val="clear" w:color="auto" w:fill="auto"/>
            <w:noWrap/>
            <w:hideMark/>
          </w:tcPr>
          <w:p w14:paraId="50E50C35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自體免疫性</w:t>
            </w:r>
          </w:p>
          <w:p w14:paraId="7E121DCC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jc w:val="both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甲狀腺疾病</w:t>
            </w: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180E256E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proofErr w:type="spell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TPOAb</w:t>
            </w:r>
            <w:proofErr w:type="spellEnd"/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71BEAC6C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&lt;35 IU/mL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3AE9A5AB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自體免疫性甲狀腺疾病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(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如橋本氏甲狀腺炎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)</w:t>
            </w: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的標誌</w:t>
            </w:r>
          </w:p>
        </w:tc>
      </w:tr>
      <w:tr w:rsidR="00617FEA" w:rsidRPr="00617FEA" w14:paraId="24AE802E" w14:textId="77777777" w:rsidTr="00617FEA">
        <w:trPr>
          <w:trHeight w:val="330"/>
          <w:jc w:val="right"/>
        </w:trPr>
        <w:tc>
          <w:tcPr>
            <w:tcW w:w="1271" w:type="dxa"/>
            <w:vMerge/>
            <w:shd w:val="clear" w:color="auto" w:fill="auto"/>
            <w:noWrap/>
            <w:vAlign w:val="center"/>
            <w:hideMark/>
          </w:tcPr>
          <w:p w14:paraId="0845BDFA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</w:p>
        </w:tc>
        <w:tc>
          <w:tcPr>
            <w:tcW w:w="2552" w:type="dxa"/>
            <w:shd w:val="clear" w:color="auto" w:fill="auto"/>
            <w:noWrap/>
            <w:vAlign w:val="center"/>
            <w:hideMark/>
          </w:tcPr>
          <w:p w14:paraId="7695C8F4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proofErr w:type="spellStart"/>
            <w:r w:rsidRPr="00617FEA">
              <w:rPr>
                <w:rFonts w:ascii="Times New Roman" w:eastAsia="標楷體" w:hAnsi="Times New Roman"/>
                <w:kern w:val="0"/>
                <w:sz w:val="22"/>
              </w:rPr>
              <w:t>TgAb</w:t>
            </w:r>
            <w:proofErr w:type="spellEnd"/>
          </w:p>
        </w:tc>
        <w:tc>
          <w:tcPr>
            <w:tcW w:w="1421" w:type="dxa"/>
            <w:shd w:val="clear" w:color="auto" w:fill="auto"/>
            <w:noWrap/>
            <w:vAlign w:val="center"/>
            <w:hideMark/>
          </w:tcPr>
          <w:p w14:paraId="6B4B2E20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&lt;20 IU/mL</w:t>
            </w:r>
          </w:p>
        </w:tc>
        <w:tc>
          <w:tcPr>
            <w:tcW w:w="3972" w:type="dxa"/>
            <w:shd w:val="clear" w:color="auto" w:fill="auto"/>
            <w:noWrap/>
            <w:vAlign w:val="center"/>
            <w:hideMark/>
          </w:tcPr>
          <w:p w14:paraId="3E357AA2" w14:textId="77777777" w:rsidR="00F74ED5" w:rsidRPr="00617FEA" w:rsidRDefault="00F74ED5" w:rsidP="00FE21FF">
            <w:pPr>
              <w:widowControl/>
              <w:adjustRightInd w:val="0"/>
              <w:snapToGrid w:val="0"/>
              <w:spacing w:line="320" w:lineRule="exact"/>
              <w:rPr>
                <w:rFonts w:ascii="Times New Roman" w:eastAsia="標楷體" w:hAnsi="Times New Roman"/>
                <w:kern w:val="0"/>
                <w:sz w:val="22"/>
              </w:rPr>
            </w:pPr>
            <w:r w:rsidRPr="00617FEA">
              <w:rPr>
                <w:rFonts w:ascii="Times New Roman" w:eastAsia="標楷體" w:hAnsi="Times New Roman"/>
                <w:kern w:val="0"/>
                <w:sz w:val="22"/>
              </w:rPr>
              <w:t>自體免疫性甲狀腺疾病的另一標誌</w:t>
            </w:r>
          </w:p>
        </w:tc>
      </w:tr>
    </w:tbl>
    <w:p w14:paraId="7E0ABB2A" w14:textId="3E68FB77" w:rsidR="00F74ED5" w:rsidRPr="00617FEA" w:rsidRDefault="00F74ED5" w:rsidP="003F73C6">
      <w:pPr>
        <w:widowControl/>
        <w:numPr>
          <w:ilvl w:val="0"/>
          <w:numId w:val="33"/>
        </w:numPr>
        <w:adjustRightInd w:val="0"/>
        <w:snapToGrid w:val="0"/>
        <w:spacing w:line="240" w:lineRule="atLeast"/>
        <w:ind w:leftChars="-58" w:left="144" w:rightChars="-118" w:right="-283" w:hangingChars="101" w:hanging="28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甲狀腺風暴</w:t>
      </w:r>
      <w:r w:rsidRPr="00617FEA">
        <w:rPr>
          <w:rFonts w:ascii="Times New Roman" w:eastAsia="標楷體" w:hAnsi="Times New Roman"/>
          <w:sz w:val="28"/>
          <w:szCs w:val="28"/>
        </w:rPr>
        <w:t>(</w:t>
      </w:r>
      <w:r w:rsidRPr="003F73C6">
        <w:rPr>
          <w:rFonts w:ascii="Times New Roman" w:eastAsia="標楷體" w:hAnsi="Times New Roman"/>
          <w:spacing w:val="1"/>
          <w:sz w:val="28"/>
          <w:szCs w:val="28"/>
        </w:rPr>
        <w:t>thyroid</w:t>
      </w:r>
      <w:r w:rsidRPr="00617FEA">
        <w:rPr>
          <w:rFonts w:ascii="Times New Roman" w:eastAsia="標楷體" w:hAnsi="Times New Roman"/>
          <w:sz w:val="28"/>
          <w:szCs w:val="28"/>
        </w:rPr>
        <w:t xml:space="preserve"> storm)</w:t>
      </w:r>
    </w:p>
    <w:p w14:paraId="7CBB258D" w14:textId="77777777" w:rsidR="00F74ED5" w:rsidRPr="00617FEA" w:rsidRDefault="00F74ED5" w:rsidP="003F73C6">
      <w:pPr>
        <w:widowControl/>
        <w:adjustRightInd w:val="0"/>
        <w:snapToGrid w:val="0"/>
        <w:spacing w:line="240" w:lineRule="atLeast"/>
        <w:ind w:leftChars="59" w:left="142" w:rightChars="-60" w:right="-144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甲狀腺風暴是一種極其罕見但危急的情況，屬於急性且危及生命的甲狀腺功能亢進，可能在感染、外科手術或其他壓力情況下發生。牙科治療可能是一種導致甲狀腺風暴的壓力源，特別是對於甲狀腺功能亢進症病人；另外，牙科治療時使用含</w:t>
      </w:r>
      <w:r w:rsidRPr="00617FEA">
        <w:rPr>
          <w:rFonts w:ascii="Times New Roman" w:eastAsia="標楷體" w:hAnsi="Times New Roman"/>
          <w:sz w:val="28"/>
          <w:szCs w:val="28"/>
        </w:rPr>
        <w:t>epinephrine</w:t>
      </w:r>
      <w:r w:rsidRPr="00617FEA">
        <w:rPr>
          <w:rFonts w:ascii="Times New Roman" w:eastAsia="標楷體" w:hAnsi="Times New Roman"/>
          <w:sz w:val="28"/>
          <w:szCs w:val="28"/>
        </w:rPr>
        <w:t>的局部麻醉劑，治療過程產生疼痛和焦慮情緒引發交感神經系統強烈反應，牙科手術後可能會引發感染，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均會加重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甲狀腺功能亢進，使甲狀腺功能亢進症病人或治療效果不好的病人產生甲狀腺風暴。</w:t>
      </w:r>
    </w:p>
    <w:p w14:paraId="329C969F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jc w:val="both"/>
        <w:rPr>
          <w:rFonts w:ascii="Times New Roman" w:eastAsia="標楷體" w:hAnsi="Times New Roman"/>
          <w:b/>
          <w:sz w:val="28"/>
          <w:szCs w:val="28"/>
        </w:rPr>
      </w:pPr>
      <w:r w:rsidRPr="00617FEA">
        <w:rPr>
          <w:rFonts w:ascii="Times New Roman" w:eastAsia="標楷體" w:hAnsi="Times New Roman"/>
          <w:b/>
          <w:sz w:val="28"/>
          <w:szCs w:val="28"/>
        </w:rPr>
        <w:t>甲狀腺風暴的症狀非常嚴重且多樣：</w:t>
      </w:r>
    </w:p>
    <w:p w14:paraId="3C4B2A1A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236" w:left="566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高燒：通常超過</w:t>
      </w:r>
      <w:r w:rsidRPr="00617FEA">
        <w:rPr>
          <w:rFonts w:ascii="Times New Roman" w:eastAsia="標楷體" w:hAnsi="Times New Roman"/>
          <w:sz w:val="28"/>
          <w:szCs w:val="28"/>
        </w:rPr>
        <w:t>39°C(102.2°F)</w:t>
      </w:r>
    </w:p>
    <w:p w14:paraId="2A9B0735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236" w:left="566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心動過速：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心率超過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140</w:t>
      </w:r>
      <w:r w:rsidRPr="00617FEA">
        <w:rPr>
          <w:rFonts w:ascii="Times New Roman" w:eastAsia="標楷體" w:hAnsi="Times New Roman"/>
          <w:sz w:val="28"/>
          <w:szCs w:val="28"/>
        </w:rPr>
        <w:t>次</w:t>
      </w:r>
      <w:r w:rsidRPr="00617FEA">
        <w:rPr>
          <w:rFonts w:ascii="Times New Roman" w:eastAsia="標楷體" w:hAnsi="Times New Roman"/>
          <w:sz w:val="28"/>
          <w:szCs w:val="28"/>
        </w:rPr>
        <w:t>/</w:t>
      </w:r>
      <w:r w:rsidRPr="00617FEA">
        <w:rPr>
          <w:rFonts w:ascii="Times New Roman" w:eastAsia="標楷體" w:hAnsi="Times New Roman"/>
          <w:sz w:val="28"/>
          <w:szCs w:val="28"/>
        </w:rPr>
        <w:t>分鐘</w:t>
      </w:r>
    </w:p>
    <w:p w14:paraId="187034FA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236" w:left="566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心律不整：如心房顫動</w:t>
      </w:r>
    </w:p>
    <w:p w14:paraId="23AD218E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236" w:left="566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高血壓：血壓顯著升高，隨後可能會出現低血壓和休克</w:t>
      </w:r>
    </w:p>
    <w:p w14:paraId="43ED0A0B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236" w:left="566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胃腸道症狀：嘔吐、腹瀉、黃疸</w:t>
      </w:r>
    </w:p>
    <w:p w14:paraId="77A73071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236" w:left="566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中樞神經系統症狀：極度焦慮、譫妄、昏迷、癲癇</w:t>
      </w:r>
    </w:p>
    <w:p w14:paraId="63FA6732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236" w:left="566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其他症狀：脫水、心力衰竭</w:t>
      </w:r>
    </w:p>
    <w:p w14:paraId="1855C4A7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jc w:val="both"/>
        <w:rPr>
          <w:rFonts w:ascii="Times New Roman" w:eastAsia="標楷體" w:hAnsi="Times New Roman"/>
          <w:b/>
          <w:sz w:val="28"/>
          <w:szCs w:val="28"/>
        </w:rPr>
      </w:pPr>
      <w:r w:rsidRPr="00617FEA">
        <w:rPr>
          <w:rFonts w:ascii="Times New Roman" w:eastAsia="標楷體" w:hAnsi="Times New Roman"/>
          <w:b/>
          <w:sz w:val="28"/>
          <w:szCs w:val="28"/>
        </w:rPr>
        <w:t>甲狀腺風暴的致病機轉</w:t>
      </w:r>
    </w:p>
    <w:p w14:paraId="2D660C31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主要是由於體內甲狀腺激素</w:t>
      </w:r>
      <w:r w:rsidRPr="00617FEA">
        <w:rPr>
          <w:rFonts w:ascii="Times New Roman" w:eastAsia="標楷體" w:hAnsi="Times New Roman"/>
          <w:sz w:val="28"/>
          <w:szCs w:val="28"/>
        </w:rPr>
        <w:t>(</w:t>
      </w:r>
      <w:r w:rsidRPr="00617FEA">
        <w:rPr>
          <w:rFonts w:ascii="Times New Roman" w:eastAsia="標楷體" w:hAnsi="Times New Roman"/>
          <w:sz w:val="28"/>
          <w:szCs w:val="28"/>
        </w:rPr>
        <w:t>主要是</w:t>
      </w:r>
      <w:r w:rsidRPr="00617FEA">
        <w:rPr>
          <w:rFonts w:ascii="Times New Roman" w:eastAsia="標楷體" w:hAnsi="Times New Roman"/>
          <w:sz w:val="28"/>
          <w:szCs w:val="28"/>
        </w:rPr>
        <w:t>T3</w:t>
      </w:r>
      <w:r w:rsidRPr="00617FEA">
        <w:rPr>
          <w:rFonts w:ascii="Times New Roman" w:eastAsia="標楷體" w:hAnsi="Times New Roman"/>
          <w:sz w:val="28"/>
          <w:szCs w:val="28"/>
        </w:rPr>
        <w:t>和</w:t>
      </w:r>
      <w:r w:rsidRPr="00617FEA">
        <w:rPr>
          <w:rFonts w:ascii="Times New Roman" w:eastAsia="標楷體" w:hAnsi="Times New Roman"/>
          <w:sz w:val="28"/>
          <w:szCs w:val="28"/>
        </w:rPr>
        <w:t>T4)</w:t>
      </w:r>
      <w:r w:rsidRPr="00617FEA">
        <w:rPr>
          <w:rFonts w:ascii="Times New Roman" w:eastAsia="標楷體" w:hAnsi="Times New Roman"/>
          <w:sz w:val="28"/>
          <w:szCs w:val="28"/>
        </w:rPr>
        <w:t>的急劇增加，引發以下反應：</w:t>
      </w:r>
    </w:p>
    <w:p w14:paraId="3EEE7F41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118" w:left="283" w:firstLine="1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代謝率劇增：導致高熱和心動過速。</w:t>
      </w:r>
    </w:p>
    <w:p w14:paraId="5E94B714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118" w:left="283" w:firstLine="1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交感神經系統反應增強：加劇心臟和中樞神經系統症狀。</w:t>
      </w:r>
    </w:p>
    <w:p w14:paraId="0A406BA3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ind w:leftChars="118" w:left="283" w:firstLine="1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循環系統過載：引發高血壓、心律不整和心力衰竭。</w:t>
      </w:r>
    </w:p>
    <w:p w14:paraId="646DF8DF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jc w:val="both"/>
        <w:rPr>
          <w:rFonts w:ascii="Times New Roman" w:eastAsia="標楷體" w:hAnsi="Times New Roman"/>
          <w:b/>
          <w:sz w:val="28"/>
          <w:szCs w:val="28"/>
        </w:rPr>
      </w:pPr>
      <w:r w:rsidRPr="00617FEA">
        <w:rPr>
          <w:rFonts w:ascii="Times New Roman" w:eastAsia="標楷體" w:hAnsi="Times New Roman"/>
          <w:b/>
          <w:sz w:val="28"/>
          <w:szCs w:val="28"/>
        </w:rPr>
        <w:t>緊急處理步驟</w:t>
      </w:r>
    </w:p>
    <w:p w14:paraId="69F166BD" w14:textId="77777777" w:rsidR="00F74ED5" w:rsidRPr="00617FEA" w:rsidRDefault="00F74ED5" w:rsidP="00F74ED5">
      <w:pPr>
        <w:widowControl/>
        <w:adjustRightInd w:val="0"/>
        <w:snapToGrid w:val="0"/>
        <w:spacing w:line="240" w:lineRule="atLeast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穩定病人生命體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徵</w:t>
      </w:r>
      <w:proofErr w:type="gramEnd"/>
    </w:p>
    <w:p w14:paraId="6CFF57CB" w14:textId="5F4911B0" w:rsidR="00F74ED5" w:rsidRPr="00617FEA" w:rsidRDefault="00F74ED5" w:rsidP="003F73C6">
      <w:pPr>
        <w:widowControl/>
        <w:numPr>
          <w:ilvl w:val="3"/>
          <w:numId w:val="41"/>
        </w:numPr>
        <w:adjustRightInd w:val="0"/>
        <w:snapToGrid w:val="0"/>
        <w:spacing w:line="240" w:lineRule="atLeast"/>
        <w:ind w:left="709" w:rightChars="-118" w:right="-283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維持呼吸道暢通：確保</w:t>
      </w:r>
      <w:r w:rsidR="00E754FF">
        <w:rPr>
          <w:rFonts w:ascii="Times New Roman" w:eastAsia="標楷體" w:hAnsi="Times New Roman" w:hint="eastAsia"/>
          <w:sz w:val="28"/>
          <w:szCs w:val="28"/>
        </w:rPr>
        <w:t>病人</w:t>
      </w:r>
      <w:r w:rsidRPr="00617FEA">
        <w:rPr>
          <w:rFonts w:ascii="Times New Roman" w:eastAsia="標楷體" w:hAnsi="Times New Roman"/>
          <w:sz w:val="28"/>
          <w:szCs w:val="28"/>
        </w:rPr>
        <w:t>呼吸道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暢通，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必要時提供氧氣或進行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氣管插管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。</w:t>
      </w:r>
    </w:p>
    <w:p w14:paraId="1AD7FF9C" w14:textId="77777777" w:rsidR="00F74ED5" w:rsidRPr="00617FEA" w:rsidRDefault="00F74ED5" w:rsidP="003F73C6">
      <w:pPr>
        <w:widowControl/>
        <w:numPr>
          <w:ilvl w:val="3"/>
          <w:numId w:val="41"/>
        </w:numPr>
        <w:adjustRightInd w:val="0"/>
        <w:snapToGrid w:val="0"/>
        <w:spacing w:line="240" w:lineRule="atLeast"/>
        <w:ind w:left="709" w:rightChars="-118" w:right="-283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監測心血管狀況：持續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監測心率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、血壓和心電圖，及時處理心律不整或心臟衰竭。</w:t>
      </w:r>
    </w:p>
    <w:p w14:paraId="6B75B6B2" w14:textId="77777777" w:rsidR="00F74ED5" w:rsidRPr="00617FEA" w:rsidRDefault="00F74ED5" w:rsidP="003F73C6">
      <w:pPr>
        <w:widowControl/>
        <w:numPr>
          <w:ilvl w:val="3"/>
          <w:numId w:val="41"/>
        </w:numPr>
        <w:adjustRightInd w:val="0"/>
        <w:snapToGrid w:val="0"/>
        <w:spacing w:line="240" w:lineRule="atLeast"/>
        <w:ind w:left="709" w:rightChars="-118" w:right="-283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控制體溫：採用降溫措施如冰袋、冷卻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毯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或物理降溫，防止高熱引起的進一步損害。</w:t>
      </w:r>
    </w:p>
    <w:p w14:paraId="1DEEBF41" w14:textId="77777777" w:rsidR="00F74ED5" w:rsidRPr="00617FEA" w:rsidRDefault="00F74ED5" w:rsidP="003F73C6">
      <w:pPr>
        <w:widowControl/>
        <w:numPr>
          <w:ilvl w:val="3"/>
          <w:numId w:val="41"/>
        </w:numPr>
        <w:adjustRightInd w:val="0"/>
        <w:snapToGrid w:val="0"/>
        <w:spacing w:line="240" w:lineRule="atLeast"/>
        <w:ind w:left="709" w:rightChars="-118" w:right="-283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送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醫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。</w:t>
      </w:r>
    </w:p>
    <w:p w14:paraId="6B2BEC5D" w14:textId="77777777" w:rsidR="00F74ED5" w:rsidRPr="00617FEA" w:rsidRDefault="00F74ED5" w:rsidP="00F74ED5">
      <w:pPr>
        <w:widowControl/>
        <w:numPr>
          <w:ilvl w:val="0"/>
          <w:numId w:val="33"/>
        </w:numPr>
        <w:adjustRightInd w:val="0"/>
        <w:snapToGrid w:val="0"/>
        <w:spacing w:line="240" w:lineRule="atLeast"/>
        <w:ind w:leftChars="-60" w:left="139" w:hangingChars="101" w:hanging="283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甲狀腺機能低下臨床表現症狀：</w:t>
      </w:r>
    </w:p>
    <w:p w14:paraId="0F179E21" w14:textId="77777777" w:rsidR="00F74ED5" w:rsidRPr="00617FEA" w:rsidRDefault="00F74ED5" w:rsidP="00F74ED5">
      <w:pPr>
        <w:widowControl/>
        <w:numPr>
          <w:ilvl w:val="0"/>
          <w:numId w:val="42"/>
        </w:numPr>
        <w:adjustRightInd w:val="0"/>
        <w:snapToGrid w:val="0"/>
        <w:spacing w:line="240" w:lineRule="atLeast"/>
        <w:ind w:left="709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無力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倦怠嗜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睡。</w:t>
      </w:r>
    </w:p>
    <w:p w14:paraId="181A12A9" w14:textId="77777777" w:rsidR="00F74ED5" w:rsidRPr="00617FEA" w:rsidRDefault="00F74ED5" w:rsidP="00F74ED5">
      <w:pPr>
        <w:widowControl/>
        <w:numPr>
          <w:ilvl w:val="0"/>
          <w:numId w:val="42"/>
        </w:numPr>
        <w:adjustRightInd w:val="0"/>
        <w:snapToGrid w:val="0"/>
        <w:spacing w:line="240" w:lineRule="atLeast"/>
        <w:ind w:left="709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關節痛或肌肉痛。</w:t>
      </w:r>
    </w:p>
    <w:p w14:paraId="3B4A997D" w14:textId="77777777" w:rsidR="00F74ED5" w:rsidRPr="00617FEA" w:rsidRDefault="00F74ED5" w:rsidP="00F74ED5">
      <w:pPr>
        <w:widowControl/>
        <w:numPr>
          <w:ilvl w:val="0"/>
          <w:numId w:val="42"/>
        </w:numPr>
        <w:adjustRightInd w:val="0"/>
        <w:snapToGrid w:val="0"/>
        <w:spacing w:line="240" w:lineRule="atLeast"/>
        <w:ind w:left="709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怕冷。</w:t>
      </w:r>
    </w:p>
    <w:p w14:paraId="37EF1DD0" w14:textId="77777777" w:rsidR="00F74ED5" w:rsidRPr="00617FEA" w:rsidRDefault="00F74ED5" w:rsidP="00F74ED5">
      <w:pPr>
        <w:widowControl/>
        <w:numPr>
          <w:ilvl w:val="0"/>
          <w:numId w:val="42"/>
        </w:numPr>
        <w:adjustRightInd w:val="0"/>
        <w:snapToGrid w:val="0"/>
        <w:spacing w:line="240" w:lineRule="atLeast"/>
        <w:ind w:left="709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皮膚乾燥或水腫。</w:t>
      </w:r>
    </w:p>
    <w:p w14:paraId="6B578063" w14:textId="77777777" w:rsidR="00F74ED5" w:rsidRPr="00617FEA" w:rsidRDefault="00F74ED5" w:rsidP="00F74ED5">
      <w:pPr>
        <w:widowControl/>
        <w:numPr>
          <w:ilvl w:val="0"/>
          <w:numId w:val="42"/>
        </w:numPr>
        <w:adjustRightInd w:val="0"/>
        <w:snapToGrid w:val="0"/>
        <w:spacing w:line="240" w:lineRule="atLeast"/>
        <w:ind w:left="709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說話緩慢或聲音沙啞。</w:t>
      </w:r>
    </w:p>
    <w:p w14:paraId="16E54F47" w14:textId="77777777" w:rsidR="00F74ED5" w:rsidRDefault="00F74ED5" w:rsidP="00F74ED5">
      <w:pPr>
        <w:widowControl/>
        <w:numPr>
          <w:ilvl w:val="0"/>
          <w:numId w:val="42"/>
        </w:numPr>
        <w:adjustRightInd w:val="0"/>
        <w:snapToGrid w:val="0"/>
        <w:spacing w:line="240" w:lineRule="atLeast"/>
        <w:ind w:left="709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經期不規律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乳溢或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兩者都有。</w:t>
      </w:r>
    </w:p>
    <w:p w14:paraId="55631D51" w14:textId="77777777" w:rsidR="00F70B11" w:rsidRPr="00617FEA" w:rsidRDefault="00F70B11" w:rsidP="00F70B11">
      <w:pPr>
        <w:widowControl/>
        <w:adjustRightInd w:val="0"/>
        <w:snapToGrid w:val="0"/>
        <w:spacing w:line="240" w:lineRule="atLeast"/>
        <w:ind w:left="284"/>
        <w:jc w:val="both"/>
        <w:rPr>
          <w:rFonts w:ascii="Times New Roman" w:eastAsia="標楷體" w:hAnsi="Times New Roman"/>
          <w:sz w:val="28"/>
          <w:szCs w:val="28"/>
        </w:rPr>
      </w:pPr>
    </w:p>
    <w:p w14:paraId="761F0D43" w14:textId="77777777" w:rsidR="00F74ED5" w:rsidRPr="00617FEA" w:rsidRDefault="00F74ED5" w:rsidP="00F74ED5">
      <w:pPr>
        <w:widowControl/>
        <w:numPr>
          <w:ilvl w:val="0"/>
          <w:numId w:val="42"/>
        </w:numPr>
        <w:adjustRightInd w:val="0"/>
        <w:snapToGrid w:val="0"/>
        <w:spacing w:line="240" w:lineRule="atLeast"/>
        <w:ind w:left="709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lastRenderedPageBreak/>
        <w:t>體重增加</w:t>
      </w:r>
      <w:r w:rsidRPr="00617FEA">
        <w:rPr>
          <w:rFonts w:ascii="Times New Roman" w:eastAsia="標楷體" w:hAnsi="Times New Roman"/>
          <w:sz w:val="28"/>
          <w:szCs w:val="28"/>
        </w:rPr>
        <w:t>(</w:t>
      </w:r>
      <w:r w:rsidRPr="00617FEA">
        <w:rPr>
          <w:rFonts w:ascii="Times New Roman" w:eastAsia="標楷體" w:hAnsi="Times New Roman"/>
          <w:sz w:val="28"/>
          <w:szCs w:val="28"/>
        </w:rPr>
        <w:t>通常不超過</w:t>
      </w:r>
      <w:r w:rsidRPr="00617FEA">
        <w:rPr>
          <w:rFonts w:ascii="Times New Roman" w:eastAsia="標楷體" w:hAnsi="Times New Roman"/>
          <w:sz w:val="28"/>
          <w:szCs w:val="28"/>
        </w:rPr>
        <w:t>10</w:t>
      </w:r>
      <w:r w:rsidRPr="00617FEA">
        <w:rPr>
          <w:rFonts w:ascii="Times New Roman" w:eastAsia="標楷體" w:hAnsi="Times New Roman"/>
          <w:sz w:val="28"/>
          <w:szCs w:val="28"/>
        </w:rPr>
        <w:t>磅</w:t>
      </w:r>
      <w:r w:rsidRPr="00617FEA">
        <w:rPr>
          <w:rFonts w:ascii="Times New Roman" w:eastAsia="標楷體" w:hAnsi="Times New Roman"/>
          <w:sz w:val="28"/>
          <w:szCs w:val="28"/>
        </w:rPr>
        <w:t>)</w:t>
      </w:r>
      <w:r w:rsidRPr="00617FEA">
        <w:rPr>
          <w:rFonts w:ascii="Times New Roman" w:eastAsia="標楷體" w:hAnsi="Times New Roman"/>
          <w:sz w:val="28"/>
          <w:szCs w:val="28"/>
        </w:rPr>
        <w:t>。</w:t>
      </w:r>
    </w:p>
    <w:p w14:paraId="204CC591" w14:textId="77777777" w:rsidR="00F74ED5" w:rsidRPr="00617FEA" w:rsidRDefault="00F74ED5" w:rsidP="00F74ED5">
      <w:pPr>
        <w:widowControl/>
        <w:numPr>
          <w:ilvl w:val="0"/>
          <w:numId w:val="42"/>
        </w:numPr>
        <w:adjustRightInd w:val="0"/>
        <w:snapToGrid w:val="0"/>
        <w:spacing w:line="240" w:lineRule="atLeast"/>
        <w:ind w:left="709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便秘。</w:t>
      </w:r>
    </w:p>
    <w:p w14:paraId="3C4419D4" w14:textId="77777777" w:rsidR="00F74ED5" w:rsidRPr="00617FEA" w:rsidRDefault="00F74ED5" w:rsidP="00F74ED5">
      <w:pPr>
        <w:widowControl/>
        <w:numPr>
          <w:ilvl w:val="0"/>
          <w:numId w:val="42"/>
        </w:numPr>
        <w:adjustRightInd w:val="0"/>
        <w:snapToGrid w:val="0"/>
        <w:spacing w:line="240" w:lineRule="atLeast"/>
        <w:ind w:left="709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味覺聽覺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嗅學變遲鈍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。</w:t>
      </w:r>
    </w:p>
    <w:p w14:paraId="1B9F9ECD" w14:textId="77777777" w:rsidR="00F74ED5" w:rsidRPr="00617FEA" w:rsidRDefault="00F74ED5" w:rsidP="00F74ED5">
      <w:pPr>
        <w:widowControl/>
        <w:numPr>
          <w:ilvl w:val="0"/>
          <w:numId w:val="42"/>
        </w:numPr>
        <w:adjustRightInd w:val="0"/>
        <w:snapToGrid w:val="0"/>
        <w:spacing w:line="240" w:lineRule="atLeast"/>
        <w:ind w:left="709" w:hanging="425"/>
        <w:jc w:val="both"/>
        <w:rPr>
          <w:rFonts w:ascii="Times New Roman" w:eastAsia="標楷體" w:hAnsi="Times New Roman"/>
          <w:sz w:val="28"/>
          <w:szCs w:val="28"/>
        </w:rPr>
      </w:pPr>
      <w:r w:rsidRPr="00617FEA">
        <w:rPr>
          <w:rFonts w:ascii="Times New Roman" w:eastAsia="標楷體" w:hAnsi="Times New Roman"/>
          <w:sz w:val="28"/>
          <w:szCs w:val="28"/>
        </w:rPr>
        <w:t>周邊神經病變</w:t>
      </w:r>
      <w:proofErr w:type="gramStart"/>
      <w:r w:rsidRPr="00617FEA">
        <w:rPr>
          <w:rFonts w:ascii="Times New Roman" w:eastAsia="標楷體" w:hAnsi="Times New Roman"/>
          <w:sz w:val="28"/>
          <w:szCs w:val="28"/>
        </w:rPr>
        <w:t>腕</w:t>
      </w:r>
      <w:proofErr w:type="gramEnd"/>
      <w:r w:rsidRPr="00617FEA">
        <w:rPr>
          <w:rFonts w:ascii="Times New Roman" w:eastAsia="標楷體" w:hAnsi="Times New Roman"/>
          <w:sz w:val="28"/>
          <w:szCs w:val="28"/>
        </w:rPr>
        <w:t>隧道症候群。</w:t>
      </w:r>
    </w:p>
    <w:p w14:paraId="559BEE92" w14:textId="77777777" w:rsidR="00F74ED5" w:rsidRPr="00F166C9" w:rsidRDefault="00F74ED5" w:rsidP="00F74ED5">
      <w:pPr>
        <w:widowControl/>
        <w:adjustRightInd w:val="0"/>
        <w:snapToGrid w:val="0"/>
        <w:spacing w:line="240" w:lineRule="atLeast"/>
        <w:ind w:left="284"/>
        <w:jc w:val="both"/>
        <w:rPr>
          <w:rFonts w:ascii="Times New Roman" w:eastAsia="標楷體" w:hAnsi="Times New Roman"/>
          <w:sz w:val="28"/>
          <w:szCs w:val="28"/>
          <w:u w:val="single"/>
        </w:rPr>
      </w:pPr>
    </w:p>
    <w:tbl>
      <w:tblPr>
        <w:tblW w:w="10207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6974"/>
      </w:tblGrid>
      <w:tr w:rsidR="00F74ED5" w:rsidRPr="00F166C9" w14:paraId="19E4DA0B" w14:textId="77777777" w:rsidTr="00F70B11">
        <w:trPr>
          <w:tblHeader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1C378C" w14:textId="77777777" w:rsidR="00F74ED5" w:rsidRPr="00F166C9" w:rsidRDefault="00F74ED5" w:rsidP="00F70B11">
            <w:pPr>
              <w:adjustRightInd w:val="0"/>
              <w:snapToGrid w:val="0"/>
              <w:spacing w:line="240" w:lineRule="atLeast"/>
              <w:ind w:rightChars="-45" w:right="-108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已確認</w:t>
            </w: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BCDE7" w14:textId="77777777" w:rsidR="00F74ED5" w:rsidRPr="00F166C9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6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6DACE" w14:textId="77777777" w:rsidR="00F74ED5" w:rsidRPr="00F166C9" w:rsidRDefault="00F74ED5" w:rsidP="00F70B11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F166C9">
              <w:rPr>
                <w:rFonts w:ascii="Times New Roman" w:eastAsia="標楷體" w:hAnsi="Times New Roman"/>
                <w:b/>
                <w:sz w:val="28"/>
                <w:szCs w:val="28"/>
              </w:rPr>
              <w:t>注意事項</w:t>
            </w:r>
          </w:p>
        </w:tc>
      </w:tr>
      <w:tr w:rsidR="00F74ED5" w:rsidRPr="00F166C9" w14:paraId="7A11B7BE" w14:textId="77777777" w:rsidTr="00F70B11"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D9D3A" w14:textId="77777777" w:rsidR="00F74ED5" w:rsidRPr="00F166C9" w:rsidRDefault="00F74ED5" w:rsidP="00FE21FF">
            <w:pPr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C5DF0" w14:textId="77777777" w:rsidR="00F74ED5" w:rsidRPr="00F70B11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</w:pPr>
            <w:r w:rsidRPr="00F70B11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十二、與牙科治療相關之</w:t>
            </w:r>
            <w:r w:rsidRPr="00F70B11"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  <w:t>自體免疫性疾病</w:t>
            </w:r>
          </w:p>
          <w:p w14:paraId="5B666C0A" w14:textId="1C7C947C" w:rsidR="00F70B11" w:rsidRPr="00F74ED5" w:rsidRDefault="00F70B11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b/>
                <w:color w:val="FF0000"/>
                <w:kern w:val="0"/>
                <w:sz w:val="28"/>
                <w:szCs w:val="28"/>
                <w:u w:val="single"/>
              </w:rPr>
            </w:pPr>
            <w:r w:rsidRPr="00617FE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(</w:t>
            </w:r>
            <w:r w:rsidRPr="00617FE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備註：</w:t>
            </w:r>
            <w:r w:rsidRPr="00617FE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114</w:t>
            </w:r>
            <w:r w:rsidRPr="00617FE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年新增</w:t>
            </w:r>
            <w:r w:rsidRPr="00617FEA">
              <w:rPr>
                <w:rFonts w:ascii="Times New Roman" w:eastAsia="標楷體" w:hAnsi="Times New Roman" w:cs="Times New Roman" w:hint="eastAsia"/>
                <w:b/>
                <w:kern w:val="0"/>
                <w:sz w:val="28"/>
                <w:szCs w:val="28"/>
              </w:rPr>
              <w:t>)</w:t>
            </w:r>
          </w:p>
        </w:tc>
        <w:tc>
          <w:tcPr>
            <w:tcW w:w="6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B9CE5" w14:textId="77777777" w:rsidR="00F74ED5" w:rsidRPr="00F70B11" w:rsidRDefault="00F74ED5" w:rsidP="00F70B11">
            <w:pPr>
              <w:widowControl/>
              <w:numPr>
                <w:ilvl w:val="0"/>
                <w:numId w:val="34"/>
              </w:numPr>
              <w:adjustRightInd w:val="0"/>
              <w:snapToGrid w:val="0"/>
              <w:spacing w:line="240" w:lineRule="atLeast"/>
              <w:ind w:leftChars="-45" w:left="340" w:hangingChars="160" w:hanging="448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F70B11">
              <w:rPr>
                <w:rFonts w:ascii="Times New Roman" w:eastAsia="標楷體" w:hAnsi="Times New Roman"/>
                <w:sz w:val="28"/>
                <w:szCs w:val="28"/>
              </w:rPr>
              <w:t>自體免疫性疾病是一組由免疫系統攻擊自身組織引起的疾病，常見與牙科治療相關的自體免疫性疾病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如：</w:t>
            </w:r>
            <w:r w:rsidRPr="00F70B11">
              <w:rPr>
                <w:rFonts w:ascii="Times New Roman" w:eastAsia="標楷體" w:hAnsi="Times New Roman"/>
                <w:sz w:val="28"/>
                <w:szCs w:val="28"/>
              </w:rPr>
              <w:t>類風濕性關節炎</w:t>
            </w:r>
            <w:r w:rsidRPr="00F70B11">
              <w:rPr>
                <w:rFonts w:ascii="Times New Roman" w:eastAsia="標楷體" w:hAnsi="Times New Roman"/>
                <w:sz w:val="28"/>
                <w:szCs w:val="28"/>
              </w:rPr>
              <w:t>(Rheumatoid Arthritis)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、</w:t>
            </w:r>
            <w:r w:rsidRPr="00F70B11">
              <w:rPr>
                <w:rFonts w:ascii="Times New Roman" w:eastAsia="標楷體" w:hAnsi="Times New Roman"/>
                <w:sz w:val="28"/>
                <w:szCs w:val="28"/>
              </w:rPr>
              <w:t>紅斑性狼瘡</w:t>
            </w:r>
            <w:r w:rsidRPr="00F70B11">
              <w:rPr>
                <w:rFonts w:ascii="Times New Roman" w:eastAsia="標楷體" w:hAnsi="Times New Roman"/>
                <w:sz w:val="28"/>
                <w:szCs w:val="28"/>
              </w:rPr>
              <w:t>(Systemic Lupus Erythematosus, SLE)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、</w:t>
            </w:r>
            <w:r w:rsidRPr="00F70B11">
              <w:rPr>
                <w:rFonts w:ascii="Times New Roman" w:eastAsia="標楷體" w:hAnsi="Times New Roman"/>
                <w:sz w:val="28"/>
                <w:szCs w:val="28"/>
              </w:rPr>
              <w:t>乾燥症</w:t>
            </w:r>
            <w:r w:rsidRPr="00F70B11">
              <w:rPr>
                <w:rFonts w:ascii="Times New Roman" w:eastAsia="標楷體" w:hAnsi="Times New Roman"/>
                <w:sz w:val="28"/>
                <w:szCs w:val="28"/>
              </w:rPr>
              <w:t>(Sjögren's Syndrome)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、</w:t>
            </w:r>
            <w:proofErr w:type="gramStart"/>
            <w:r w:rsidRPr="00F70B11">
              <w:rPr>
                <w:rFonts w:ascii="Times New Roman" w:eastAsia="標楷體" w:hAnsi="Times New Roman"/>
                <w:sz w:val="28"/>
                <w:szCs w:val="28"/>
              </w:rPr>
              <w:t>硬皮病</w:t>
            </w:r>
            <w:proofErr w:type="gramEnd"/>
            <w:r w:rsidRPr="00F70B11">
              <w:rPr>
                <w:rFonts w:ascii="Times New Roman" w:eastAsia="標楷體" w:hAnsi="Times New Roman"/>
                <w:sz w:val="28"/>
                <w:szCs w:val="28"/>
              </w:rPr>
              <w:t>(Scleroderma)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、</w:t>
            </w:r>
            <w:r w:rsidRPr="00F70B11">
              <w:rPr>
                <w:rFonts w:ascii="Times New Roman" w:eastAsia="標楷體" w:hAnsi="Times New Roman"/>
                <w:sz w:val="28"/>
                <w:szCs w:val="28"/>
              </w:rPr>
              <w:t>多發性硬化症</w:t>
            </w:r>
            <w:r w:rsidRPr="00F70B11">
              <w:rPr>
                <w:rFonts w:ascii="Times New Roman" w:eastAsia="標楷體" w:hAnsi="Times New Roman"/>
                <w:sz w:val="28"/>
                <w:szCs w:val="28"/>
              </w:rPr>
              <w:t>(Multiple Sclerosis, MS)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，自體免疫性疾病治療藥物與牙科藥物之交互作用：</w:t>
            </w:r>
          </w:p>
          <w:p w14:paraId="06CEBED5" w14:textId="77777777" w:rsidR="00F74ED5" w:rsidRPr="00F70B11" w:rsidRDefault="00F74ED5" w:rsidP="00FE21FF">
            <w:pPr>
              <w:widowControl/>
              <w:adjustRightInd w:val="0"/>
              <w:snapToGrid w:val="0"/>
              <w:spacing w:line="240" w:lineRule="atLeast"/>
              <w:ind w:left="138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(1)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免疫抑制劑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(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如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Methotrexate, Cyclosporine)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</w:p>
          <w:p w14:paraId="447BA95A" w14:textId="77777777" w:rsidR="00F74ED5" w:rsidRPr="00F70B11" w:rsidRDefault="00F74ED5" w:rsidP="00FE21FF">
            <w:pPr>
              <w:widowControl/>
              <w:adjustRightInd w:val="0"/>
              <w:snapToGrid w:val="0"/>
              <w:spacing w:line="240" w:lineRule="atLeast"/>
              <w:ind w:leftChars="247" w:left="876" w:hangingChars="101" w:hanging="283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A.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這些藥物可能增加感染風險，因此在牙科手術前後需特別注意抗生素的使用。</w:t>
            </w:r>
          </w:p>
          <w:p w14:paraId="571CC677" w14:textId="77777777" w:rsidR="00F74ED5" w:rsidRPr="00F70B11" w:rsidRDefault="00F74ED5" w:rsidP="00FE21FF">
            <w:pPr>
              <w:widowControl/>
              <w:adjustRightInd w:val="0"/>
              <w:snapToGrid w:val="0"/>
              <w:spacing w:line="240" w:lineRule="atLeast"/>
              <w:ind w:leftChars="247" w:left="876" w:hangingChars="101" w:hanging="283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B.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需</w:t>
            </w:r>
            <w:proofErr w:type="gramStart"/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監控腎</w:t>
            </w:r>
            <w:proofErr w:type="gramEnd"/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功能和肝功能，避免使用對</w:t>
            </w:r>
            <w:proofErr w:type="gramStart"/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腎或肝</w:t>
            </w:r>
            <w:proofErr w:type="gramEnd"/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有毒性的藥物。</w:t>
            </w:r>
          </w:p>
          <w:p w14:paraId="05F6998D" w14:textId="77777777" w:rsidR="00F74ED5" w:rsidRPr="00F70B11" w:rsidRDefault="00F74ED5" w:rsidP="00FE21FF">
            <w:pPr>
              <w:widowControl/>
              <w:adjustRightInd w:val="0"/>
              <w:snapToGrid w:val="0"/>
              <w:spacing w:line="240" w:lineRule="atLeast"/>
              <w:ind w:left="138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(2)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類固醇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(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如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Prednisolone)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</w:p>
          <w:p w14:paraId="606D734A" w14:textId="77777777" w:rsidR="00F74ED5" w:rsidRPr="00F70B11" w:rsidRDefault="00F74ED5" w:rsidP="00FE21FF">
            <w:pPr>
              <w:widowControl/>
              <w:adjustRightInd w:val="0"/>
              <w:snapToGrid w:val="0"/>
              <w:spacing w:line="240" w:lineRule="atLeast"/>
              <w:ind w:leftChars="247" w:left="876" w:hangingChars="101" w:hanging="283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A.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長期使用類固醇可能導致骨質疏鬆，影響齒槽骨健康。</w:t>
            </w:r>
          </w:p>
          <w:p w14:paraId="61ECB925" w14:textId="77777777" w:rsidR="00F74ED5" w:rsidRPr="00F70B11" w:rsidRDefault="00F74ED5" w:rsidP="00FE21FF">
            <w:pPr>
              <w:widowControl/>
              <w:adjustRightInd w:val="0"/>
              <w:snapToGrid w:val="0"/>
              <w:spacing w:line="240" w:lineRule="atLeast"/>
              <w:ind w:leftChars="247" w:left="876" w:hangingChars="101" w:hanging="283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B.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手術前需考慮類固醇劑量的調整，以</w:t>
            </w:r>
            <w:proofErr w:type="gramStart"/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防止應激性</w:t>
            </w:r>
            <w:proofErr w:type="gramEnd"/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腎上腺危象。</w:t>
            </w:r>
          </w:p>
          <w:p w14:paraId="5187A36C" w14:textId="77777777" w:rsidR="00F74ED5" w:rsidRPr="00F70B11" w:rsidRDefault="00F74ED5" w:rsidP="00FE21FF">
            <w:pPr>
              <w:widowControl/>
              <w:adjustRightInd w:val="0"/>
              <w:snapToGrid w:val="0"/>
              <w:spacing w:line="240" w:lineRule="atLeast"/>
              <w:ind w:leftChars="69" w:left="452" w:hangingChars="102" w:hanging="286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(3)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非類固醇消炎藥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(non-steroidal anti-inflammatory drugs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，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NSAIDs)NSAIDs,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如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Ibuprofen)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：與免疫抑制劑或類固醇合用時需注意胃腸道出血的風險。可引起口腔潰瘍或加重已有的口腔潰瘍。</w:t>
            </w:r>
          </w:p>
          <w:p w14:paraId="5B953E0D" w14:textId="77777777" w:rsidR="00F74ED5" w:rsidRPr="00F70B11" w:rsidRDefault="00F74ED5" w:rsidP="00FE21FF">
            <w:pPr>
              <w:widowControl/>
              <w:adjustRightInd w:val="0"/>
              <w:snapToGrid w:val="0"/>
              <w:spacing w:line="240" w:lineRule="atLeast"/>
              <w:ind w:leftChars="69" w:left="452" w:hangingChars="102" w:hanging="286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(4)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抗瘧疾藥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(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如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Hydroxychloroquine)</w:t>
            </w:r>
            <w:r w:rsidRPr="00F70B11">
              <w:rPr>
                <w:rFonts w:ascii="Times New Roman" w:eastAsia="標楷體" w:hAnsi="Times New Roman" w:hint="eastAsia"/>
                <w:sz w:val="28"/>
                <w:szCs w:val="28"/>
              </w:rPr>
              <w:t>：長期使用可能引起口腔色素沉著或視力問題，需要定期檢查眼睛及口腔健康。</w:t>
            </w:r>
          </w:p>
          <w:p w14:paraId="077A4E12" w14:textId="77777777" w:rsidR="00F74ED5" w:rsidRPr="00F166C9" w:rsidRDefault="00F74ED5" w:rsidP="00F74ED5">
            <w:pPr>
              <w:widowControl/>
              <w:numPr>
                <w:ilvl w:val="0"/>
                <w:numId w:val="34"/>
              </w:numPr>
              <w:adjustRightInd w:val="0"/>
              <w:snapToGrid w:val="0"/>
              <w:spacing w:line="240" w:lineRule="atLeast"/>
              <w:ind w:leftChars="-45" w:left="138" w:hangingChars="88" w:hanging="246"/>
              <w:jc w:val="both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F70B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F70B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治療前宜照會</w:t>
            </w:r>
            <w:proofErr w:type="gramEnd"/>
            <w:r w:rsidRPr="00F70B11">
              <w:rPr>
                <w:rFonts w:ascii="Times New Roman" w:eastAsia="標楷體" w:hAnsi="Times New Roman"/>
                <w:kern w:val="0"/>
                <w:sz w:val="28"/>
                <w:szCs w:val="28"/>
              </w:rPr>
              <w:t>或轉診至其他相關單位做進一步診治。</w:t>
            </w:r>
          </w:p>
        </w:tc>
      </w:tr>
    </w:tbl>
    <w:p w14:paraId="14C2DE80" w14:textId="77777777" w:rsidR="00F74ED5" w:rsidRPr="00F70B11" w:rsidRDefault="00F74ED5" w:rsidP="00F74ED5">
      <w:pPr>
        <w:widowControl/>
        <w:adjustRightInd w:val="0"/>
        <w:snapToGrid w:val="0"/>
        <w:spacing w:line="240" w:lineRule="atLeast"/>
        <w:ind w:leftChars="-236" w:left="426" w:hangingChars="354" w:hanging="992"/>
        <w:jc w:val="both"/>
        <w:rPr>
          <w:rFonts w:ascii="Times New Roman" w:eastAsia="標楷體" w:hAnsi="Times New Roman"/>
          <w:b/>
          <w:sz w:val="28"/>
          <w:szCs w:val="28"/>
        </w:rPr>
      </w:pPr>
      <w:r w:rsidRPr="00F70B11">
        <w:rPr>
          <w:rFonts w:ascii="Times New Roman" w:eastAsia="標楷體" w:hAnsi="Times New Roman"/>
          <w:b/>
          <w:sz w:val="28"/>
          <w:szCs w:val="28"/>
        </w:rPr>
        <w:t>【背景說明</w:t>
      </w:r>
      <w:r w:rsidRPr="00F70B11">
        <w:rPr>
          <w:rFonts w:ascii="Times New Roman" w:eastAsia="標楷體" w:hAnsi="Times New Roman"/>
          <w:b/>
          <w:sz w:val="28"/>
          <w:szCs w:val="28"/>
        </w:rPr>
        <w:t>(</w:t>
      </w:r>
      <w:r w:rsidRPr="00F70B11">
        <w:rPr>
          <w:rFonts w:ascii="Times New Roman" w:eastAsia="標楷體" w:hAnsi="Times New Roman"/>
          <w:b/>
          <w:sz w:val="28"/>
          <w:szCs w:val="28"/>
        </w:rPr>
        <w:t>參考事項</w:t>
      </w:r>
      <w:r w:rsidRPr="00F70B11">
        <w:rPr>
          <w:rFonts w:ascii="Times New Roman" w:eastAsia="標楷體" w:hAnsi="Times New Roman"/>
          <w:b/>
          <w:sz w:val="28"/>
          <w:szCs w:val="28"/>
        </w:rPr>
        <w:t>)</w:t>
      </w:r>
      <w:r w:rsidRPr="00F70B11">
        <w:rPr>
          <w:rFonts w:ascii="Times New Roman" w:eastAsia="標楷體" w:hAnsi="Times New Roman"/>
          <w:b/>
          <w:sz w:val="28"/>
          <w:szCs w:val="28"/>
        </w:rPr>
        <w:t>】</w:t>
      </w:r>
    </w:p>
    <w:p w14:paraId="12DE8C53" w14:textId="77777777" w:rsidR="00F74ED5" w:rsidRPr="00F70B11" w:rsidRDefault="00F74ED5" w:rsidP="00F70B11">
      <w:pPr>
        <w:pStyle w:val="af3"/>
        <w:widowControl/>
        <w:numPr>
          <w:ilvl w:val="0"/>
          <w:numId w:val="45"/>
        </w:numPr>
        <w:adjustRightInd w:val="0"/>
        <w:snapToGrid w:val="0"/>
        <w:spacing w:line="240" w:lineRule="atLeast"/>
        <w:ind w:leftChars="0" w:left="426" w:hanging="426"/>
        <w:jc w:val="both"/>
        <w:rPr>
          <w:rFonts w:ascii="Times New Roman" w:eastAsia="標楷體" w:hAnsi="Times New Roman"/>
          <w:sz w:val="28"/>
          <w:szCs w:val="28"/>
        </w:rPr>
      </w:pPr>
      <w:r w:rsidRPr="00F70B11">
        <w:rPr>
          <w:rFonts w:ascii="Times New Roman" w:eastAsia="標楷體" w:hAnsi="Times New Roman"/>
          <w:sz w:val="28"/>
          <w:szCs w:val="28"/>
        </w:rPr>
        <w:t>常見與牙科治療相關的自體免疫性疾病及其症狀</w:t>
      </w:r>
    </w:p>
    <w:p w14:paraId="7EBA0BFD" w14:textId="77777777" w:rsidR="00F74ED5" w:rsidRPr="00F70B11" w:rsidRDefault="00F74ED5" w:rsidP="00F74ED5">
      <w:pPr>
        <w:widowControl/>
        <w:adjustRightInd w:val="0"/>
        <w:snapToGrid w:val="0"/>
        <w:spacing w:line="240" w:lineRule="atLeast"/>
        <w:ind w:left="142"/>
        <w:jc w:val="both"/>
        <w:rPr>
          <w:rFonts w:ascii="Times New Roman" w:eastAsia="標楷體" w:hAnsi="Times New Roman"/>
          <w:sz w:val="28"/>
          <w:szCs w:val="28"/>
        </w:rPr>
      </w:pPr>
      <w:r w:rsidRPr="00F70B11">
        <w:rPr>
          <w:rFonts w:ascii="Times New Roman" w:eastAsia="標楷體" w:hAnsi="Times New Roman"/>
          <w:sz w:val="28"/>
          <w:szCs w:val="28"/>
        </w:rPr>
        <w:t>(1)</w:t>
      </w:r>
      <w:r w:rsidRPr="00F70B11">
        <w:rPr>
          <w:rFonts w:ascii="Times New Roman" w:eastAsia="標楷體" w:hAnsi="Times New Roman"/>
          <w:sz w:val="28"/>
          <w:szCs w:val="28"/>
        </w:rPr>
        <w:t>類風濕性關節炎</w:t>
      </w:r>
      <w:r w:rsidRPr="00F70B11">
        <w:rPr>
          <w:rFonts w:ascii="Times New Roman" w:eastAsia="標楷體" w:hAnsi="Times New Roman"/>
          <w:sz w:val="28"/>
          <w:szCs w:val="28"/>
        </w:rPr>
        <w:t>(Rheumatoid Arthritis)</w:t>
      </w:r>
    </w:p>
    <w:p w14:paraId="426ADFD2" w14:textId="77777777" w:rsidR="00F74ED5" w:rsidRPr="00F70B11" w:rsidRDefault="00F74ED5" w:rsidP="00F70B11">
      <w:pPr>
        <w:widowControl/>
        <w:adjustRightInd w:val="0"/>
        <w:snapToGrid w:val="0"/>
        <w:spacing w:line="240" w:lineRule="atLeast"/>
        <w:ind w:left="434" w:rightChars="-118" w:right="-283"/>
        <w:jc w:val="both"/>
        <w:rPr>
          <w:rFonts w:ascii="Times New Roman" w:eastAsia="標楷體" w:hAnsi="Times New Roman"/>
          <w:sz w:val="28"/>
          <w:szCs w:val="28"/>
        </w:rPr>
      </w:pPr>
      <w:r w:rsidRPr="00F70B11">
        <w:rPr>
          <w:rFonts w:ascii="Times New Roman" w:eastAsia="標楷體" w:hAnsi="Times New Roman"/>
          <w:sz w:val="28"/>
          <w:szCs w:val="28"/>
        </w:rPr>
        <w:t>症狀：關節</w:t>
      </w:r>
      <w:proofErr w:type="gramStart"/>
      <w:r w:rsidRPr="00F70B11">
        <w:rPr>
          <w:rFonts w:ascii="Times New Roman" w:eastAsia="標楷體" w:hAnsi="Times New Roman"/>
          <w:sz w:val="28"/>
          <w:szCs w:val="28"/>
        </w:rPr>
        <w:t>疼痛、</w:t>
      </w:r>
      <w:proofErr w:type="gramEnd"/>
      <w:r w:rsidRPr="00F70B11">
        <w:rPr>
          <w:rFonts w:ascii="Times New Roman" w:eastAsia="標楷體" w:hAnsi="Times New Roman"/>
          <w:sz w:val="28"/>
          <w:szCs w:val="28"/>
        </w:rPr>
        <w:t>僵硬、腫脹，特別是在手指、手腕、膝蓋等處。可能伴有全身性疲憊</w:t>
      </w:r>
      <w:proofErr w:type="gramStart"/>
      <w:r w:rsidRPr="00F70B11">
        <w:rPr>
          <w:rFonts w:ascii="Times New Roman" w:eastAsia="標楷體" w:hAnsi="Times New Roman"/>
          <w:sz w:val="28"/>
          <w:szCs w:val="28"/>
        </w:rPr>
        <w:t>和低燒</w:t>
      </w:r>
      <w:proofErr w:type="gramEnd"/>
      <w:r w:rsidRPr="00F70B11">
        <w:rPr>
          <w:rFonts w:ascii="Times New Roman" w:eastAsia="標楷體" w:hAnsi="Times New Roman"/>
          <w:sz w:val="28"/>
          <w:szCs w:val="28"/>
        </w:rPr>
        <w:t>。</w:t>
      </w:r>
    </w:p>
    <w:p w14:paraId="19195F52" w14:textId="77777777" w:rsidR="00F74ED5" w:rsidRPr="00F70B11" w:rsidRDefault="00F74ED5" w:rsidP="00F74ED5">
      <w:pPr>
        <w:widowControl/>
        <w:adjustRightInd w:val="0"/>
        <w:snapToGrid w:val="0"/>
        <w:spacing w:line="240" w:lineRule="atLeast"/>
        <w:ind w:left="142"/>
        <w:jc w:val="both"/>
        <w:rPr>
          <w:rFonts w:ascii="Times New Roman" w:eastAsia="標楷體" w:hAnsi="Times New Roman"/>
          <w:sz w:val="28"/>
          <w:szCs w:val="28"/>
        </w:rPr>
      </w:pPr>
      <w:r w:rsidRPr="00F70B11">
        <w:rPr>
          <w:rFonts w:ascii="Times New Roman" w:eastAsia="標楷體" w:hAnsi="Times New Roman"/>
          <w:sz w:val="28"/>
          <w:szCs w:val="28"/>
        </w:rPr>
        <w:t>(2)</w:t>
      </w:r>
      <w:r w:rsidRPr="00F70B11">
        <w:rPr>
          <w:rFonts w:ascii="Times New Roman" w:eastAsia="標楷體" w:hAnsi="Times New Roman"/>
          <w:sz w:val="28"/>
          <w:szCs w:val="28"/>
        </w:rPr>
        <w:t>紅斑性狼瘡</w:t>
      </w:r>
      <w:r w:rsidRPr="00F70B11">
        <w:rPr>
          <w:rFonts w:ascii="Times New Roman" w:eastAsia="標楷體" w:hAnsi="Times New Roman"/>
          <w:sz w:val="28"/>
          <w:szCs w:val="28"/>
        </w:rPr>
        <w:t>(Systemic Lupus Erythematosus, SLE)</w:t>
      </w:r>
    </w:p>
    <w:p w14:paraId="7D6A9312" w14:textId="77777777" w:rsidR="00F74ED5" w:rsidRPr="00F70B11" w:rsidRDefault="00F74ED5" w:rsidP="00F70B11">
      <w:pPr>
        <w:widowControl/>
        <w:adjustRightInd w:val="0"/>
        <w:snapToGrid w:val="0"/>
        <w:spacing w:line="240" w:lineRule="atLeast"/>
        <w:ind w:left="434" w:rightChars="-118" w:right="-283"/>
        <w:jc w:val="both"/>
        <w:rPr>
          <w:rFonts w:ascii="Times New Roman" w:eastAsia="標楷體" w:hAnsi="Times New Roman"/>
          <w:sz w:val="28"/>
          <w:szCs w:val="28"/>
        </w:rPr>
      </w:pPr>
      <w:r w:rsidRPr="00F70B11">
        <w:rPr>
          <w:rFonts w:ascii="Times New Roman" w:eastAsia="標楷體" w:hAnsi="Times New Roman"/>
          <w:sz w:val="28"/>
          <w:szCs w:val="28"/>
        </w:rPr>
        <w:t>症狀：皮膚紅斑、關節痛、</w:t>
      </w:r>
      <w:proofErr w:type="gramStart"/>
      <w:r w:rsidRPr="00F70B11">
        <w:rPr>
          <w:rFonts w:ascii="Times New Roman" w:eastAsia="標楷體" w:hAnsi="Times New Roman"/>
          <w:sz w:val="28"/>
          <w:szCs w:val="28"/>
        </w:rPr>
        <w:t>疲勞、</w:t>
      </w:r>
      <w:proofErr w:type="gramEnd"/>
      <w:r w:rsidRPr="00F70B11">
        <w:rPr>
          <w:rFonts w:ascii="Times New Roman" w:eastAsia="標楷體" w:hAnsi="Times New Roman"/>
          <w:sz w:val="28"/>
          <w:szCs w:val="28"/>
        </w:rPr>
        <w:t>發燒、腎功能障礙等。口腔潰瘍和口乾也是常見症狀。</w:t>
      </w:r>
    </w:p>
    <w:p w14:paraId="7C9901E9" w14:textId="77777777" w:rsidR="00F74ED5" w:rsidRPr="00F70B11" w:rsidRDefault="00F74ED5" w:rsidP="00F74ED5">
      <w:pPr>
        <w:widowControl/>
        <w:adjustRightInd w:val="0"/>
        <w:snapToGrid w:val="0"/>
        <w:spacing w:line="240" w:lineRule="atLeast"/>
        <w:ind w:left="142"/>
        <w:jc w:val="both"/>
        <w:rPr>
          <w:rFonts w:ascii="Times New Roman" w:eastAsia="標楷體" w:hAnsi="Times New Roman"/>
          <w:sz w:val="28"/>
          <w:szCs w:val="28"/>
        </w:rPr>
      </w:pPr>
      <w:r w:rsidRPr="00F70B11">
        <w:rPr>
          <w:rFonts w:ascii="Times New Roman" w:eastAsia="標楷體" w:hAnsi="Times New Roman"/>
          <w:sz w:val="28"/>
          <w:szCs w:val="28"/>
        </w:rPr>
        <w:lastRenderedPageBreak/>
        <w:t>(3)</w:t>
      </w:r>
      <w:r w:rsidRPr="00F70B11">
        <w:rPr>
          <w:rFonts w:ascii="Times New Roman" w:eastAsia="標楷體" w:hAnsi="Times New Roman"/>
          <w:sz w:val="28"/>
          <w:szCs w:val="28"/>
        </w:rPr>
        <w:t>乾燥症</w:t>
      </w:r>
      <w:r w:rsidRPr="00F70B11">
        <w:rPr>
          <w:rFonts w:ascii="Times New Roman" w:eastAsia="標楷體" w:hAnsi="Times New Roman"/>
          <w:sz w:val="28"/>
          <w:szCs w:val="28"/>
        </w:rPr>
        <w:t>(Sjögren's Syndrome)</w:t>
      </w:r>
    </w:p>
    <w:p w14:paraId="14EB48E6" w14:textId="77777777" w:rsidR="00F74ED5" w:rsidRPr="00F70B11" w:rsidRDefault="00F74ED5" w:rsidP="00F74ED5">
      <w:pPr>
        <w:widowControl/>
        <w:adjustRightInd w:val="0"/>
        <w:snapToGrid w:val="0"/>
        <w:spacing w:line="240" w:lineRule="atLeast"/>
        <w:ind w:left="434"/>
        <w:jc w:val="both"/>
        <w:rPr>
          <w:rFonts w:ascii="Times New Roman" w:eastAsia="標楷體" w:hAnsi="Times New Roman"/>
          <w:sz w:val="28"/>
          <w:szCs w:val="28"/>
        </w:rPr>
      </w:pPr>
      <w:r w:rsidRPr="00F70B11">
        <w:rPr>
          <w:rFonts w:ascii="Times New Roman" w:eastAsia="標楷體" w:hAnsi="Times New Roman"/>
          <w:sz w:val="28"/>
          <w:szCs w:val="28"/>
        </w:rPr>
        <w:t>症狀：口乾、乾眼、口腔潰瘍、牙齦病變、牙齦萎縮和牙齦疼痛等。</w:t>
      </w:r>
    </w:p>
    <w:p w14:paraId="21585FC5" w14:textId="77777777" w:rsidR="00F74ED5" w:rsidRPr="00F70B11" w:rsidRDefault="00F74ED5" w:rsidP="00F74ED5">
      <w:pPr>
        <w:widowControl/>
        <w:adjustRightInd w:val="0"/>
        <w:snapToGrid w:val="0"/>
        <w:spacing w:line="240" w:lineRule="atLeast"/>
        <w:ind w:left="142"/>
        <w:jc w:val="both"/>
        <w:rPr>
          <w:rFonts w:ascii="Times New Roman" w:eastAsia="標楷體" w:hAnsi="Times New Roman"/>
          <w:sz w:val="28"/>
          <w:szCs w:val="28"/>
        </w:rPr>
      </w:pPr>
      <w:r w:rsidRPr="00F70B11">
        <w:rPr>
          <w:rFonts w:ascii="Times New Roman" w:eastAsia="標楷體" w:hAnsi="Times New Roman"/>
          <w:sz w:val="28"/>
          <w:szCs w:val="28"/>
        </w:rPr>
        <w:t>(4)</w:t>
      </w:r>
      <w:proofErr w:type="gramStart"/>
      <w:r w:rsidRPr="00F70B11">
        <w:rPr>
          <w:rFonts w:ascii="Times New Roman" w:eastAsia="標楷體" w:hAnsi="Times New Roman"/>
          <w:sz w:val="28"/>
          <w:szCs w:val="28"/>
        </w:rPr>
        <w:t>硬皮病</w:t>
      </w:r>
      <w:proofErr w:type="gramEnd"/>
      <w:r w:rsidRPr="00F70B11">
        <w:rPr>
          <w:rFonts w:ascii="Times New Roman" w:eastAsia="標楷體" w:hAnsi="Times New Roman"/>
          <w:sz w:val="28"/>
          <w:szCs w:val="28"/>
        </w:rPr>
        <w:t>(Scleroderma)</w:t>
      </w:r>
    </w:p>
    <w:p w14:paraId="565ED597" w14:textId="77777777" w:rsidR="00F74ED5" w:rsidRPr="00F70B11" w:rsidRDefault="00F74ED5" w:rsidP="00F74ED5">
      <w:pPr>
        <w:widowControl/>
        <w:adjustRightInd w:val="0"/>
        <w:snapToGrid w:val="0"/>
        <w:spacing w:line="240" w:lineRule="atLeast"/>
        <w:ind w:left="434"/>
        <w:jc w:val="both"/>
        <w:rPr>
          <w:rFonts w:ascii="Times New Roman" w:eastAsia="標楷體" w:hAnsi="Times New Roman"/>
          <w:sz w:val="28"/>
          <w:szCs w:val="28"/>
        </w:rPr>
      </w:pPr>
      <w:r w:rsidRPr="00F70B11">
        <w:rPr>
          <w:rFonts w:ascii="Times New Roman" w:eastAsia="標楷體" w:hAnsi="Times New Roman"/>
          <w:sz w:val="28"/>
          <w:szCs w:val="28"/>
        </w:rPr>
        <w:t>症狀：皮膚硬化、手指腫脹、關節</w:t>
      </w:r>
      <w:proofErr w:type="gramStart"/>
      <w:r w:rsidRPr="00F70B11">
        <w:rPr>
          <w:rFonts w:ascii="Times New Roman" w:eastAsia="標楷體" w:hAnsi="Times New Roman"/>
          <w:sz w:val="28"/>
          <w:szCs w:val="28"/>
        </w:rPr>
        <w:t>疼痛、</w:t>
      </w:r>
      <w:proofErr w:type="gramEnd"/>
      <w:r w:rsidRPr="00F70B11">
        <w:rPr>
          <w:rFonts w:ascii="Times New Roman" w:eastAsia="標楷體" w:hAnsi="Times New Roman"/>
          <w:sz w:val="28"/>
          <w:szCs w:val="28"/>
        </w:rPr>
        <w:t>口乾、張口受限等。</w:t>
      </w:r>
    </w:p>
    <w:p w14:paraId="0F34F792" w14:textId="77777777" w:rsidR="00F74ED5" w:rsidRPr="00F70B11" w:rsidRDefault="00F74ED5" w:rsidP="00F74ED5">
      <w:pPr>
        <w:widowControl/>
        <w:adjustRightInd w:val="0"/>
        <w:snapToGrid w:val="0"/>
        <w:spacing w:line="240" w:lineRule="atLeast"/>
        <w:ind w:left="142"/>
        <w:jc w:val="both"/>
        <w:rPr>
          <w:rFonts w:ascii="Times New Roman" w:eastAsia="標楷體" w:hAnsi="Times New Roman"/>
          <w:sz w:val="28"/>
          <w:szCs w:val="28"/>
        </w:rPr>
      </w:pPr>
      <w:r w:rsidRPr="00F70B11">
        <w:rPr>
          <w:rFonts w:ascii="Times New Roman" w:eastAsia="標楷體" w:hAnsi="Times New Roman"/>
          <w:sz w:val="28"/>
          <w:szCs w:val="28"/>
        </w:rPr>
        <w:t>(5)</w:t>
      </w:r>
      <w:r w:rsidRPr="00F70B11">
        <w:rPr>
          <w:rFonts w:ascii="Times New Roman" w:eastAsia="標楷體" w:hAnsi="Times New Roman"/>
          <w:sz w:val="28"/>
          <w:szCs w:val="28"/>
        </w:rPr>
        <w:t>多發性硬化症</w:t>
      </w:r>
      <w:r w:rsidRPr="00F70B11">
        <w:rPr>
          <w:rFonts w:ascii="Times New Roman" w:eastAsia="標楷體" w:hAnsi="Times New Roman"/>
          <w:sz w:val="28"/>
          <w:szCs w:val="28"/>
        </w:rPr>
        <w:t>(Multiple Sclerosis, MS)</w:t>
      </w:r>
    </w:p>
    <w:p w14:paraId="7E0A5D39" w14:textId="77777777" w:rsidR="00F74ED5" w:rsidRPr="00F70B11" w:rsidRDefault="00F74ED5" w:rsidP="00F74ED5">
      <w:pPr>
        <w:widowControl/>
        <w:adjustRightInd w:val="0"/>
        <w:snapToGrid w:val="0"/>
        <w:spacing w:line="240" w:lineRule="atLeast"/>
        <w:ind w:left="434"/>
        <w:jc w:val="both"/>
        <w:rPr>
          <w:rFonts w:ascii="Times New Roman" w:eastAsia="標楷體" w:hAnsi="Times New Roman"/>
          <w:sz w:val="28"/>
          <w:szCs w:val="28"/>
        </w:rPr>
      </w:pPr>
      <w:r w:rsidRPr="00F70B11">
        <w:rPr>
          <w:rFonts w:ascii="Times New Roman" w:eastAsia="標楷體" w:hAnsi="Times New Roman"/>
          <w:sz w:val="28"/>
          <w:szCs w:val="28"/>
        </w:rPr>
        <w:t>症狀：肌肉無力、視力模糊、共濟失調</w:t>
      </w:r>
      <w:r w:rsidRPr="00F70B11">
        <w:rPr>
          <w:rFonts w:ascii="Times New Roman" w:eastAsia="標楷體" w:hAnsi="Times New Roman"/>
          <w:sz w:val="28"/>
          <w:szCs w:val="28"/>
        </w:rPr>
        <w:t>(Ataxia</w:t>
      </w:r>
      <w:r w:rsidRPr="00F70B11">
        <w:rPr>
          <w:rFonts w:ascii="Times New Roman" w:eastAsia="標楷體" w:hAnsi="Times New Roman" w:hint="eastAsia"/>
          <w:sz w:val="28"/>
          <w:szCs w:val="28"/>
        </w:rPr>
        <w:t>)</w:t>
      </w:r>
      <w:r w:rsidRPr="00F70B11">
        <w:rPr>
          <w:rFonts w:ascii="Times New Roman" w:eastAsia="標楷體" w:hAnsi="Times New Roman"/>
          <w:sz w:val="28"/>
          <w:szCs w:val="28"/>
        </w:rPr>
        <w:t>、吞嚥困難等。</w:t>
      </w:r>
    </w:p>
    <w:p w14:paraId="6EA754F5" w14:textId="77777777" w:rsidR="00F74ED5" w:rsidRPr="00F70B11" w:rsidRDefault="00F74ED5" w:rsidP="00F74ED5">
      <w:pPr>
        <w:pStyle w:val="af3"/>
        <w:widowControl/>
        <w:numPr>
          <w:ilvl w:val="0"/>
          <w:numId w:val="45"/>
        </w:numPr>
        <w:adjustRightInd w:val="0"/>
        <w:snapToGrid w:val="0"/>
        <w:spacing w:line="240" w:lineRule="atLeast"/>
        <w:ind w:leftChars="0" w:left="284" w:hanging="284"/>
        <w:jc w:val="both"/>
        <w:rPr>
          <w:rFonts w:ascii="Times New Roman" w:eastAsia="標楷體" w:hAnsi="Times New Roman"/>
          <w:kern w:val="0"/>
          <w:sz w:val="28"/>
          <w:szCs w:val="28"/>
        </w:rPr>
      </w:pPr>
      <w:r w:rsidRPr="00F70B11">
        <w:rPr>
          <w:rFonts w:ascii="Times New Roman" w:eastAsia="標楷體" w:hAnsi="Times New Roman"/>
          <w:kern w:val="0"/>
          <w:sz w:val="28"/>
          <w:szCs w:val="28"/>
        </w:rPr>
        <w:t>紅斑性狼瘡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-</w:t>
      </w:r>
      <w:r w:rsidRPr="00F70B11">
        <w:rPr>
          <w:rFonts w:ascii="Times New Roman" w:eastAsia="標楷體" w:hAnsi="Times New Roman"/>
          <w:sz w:val="28"/>
          <w:szCs w:val="28"/>
        </w:rPr>
        <w:t>用藥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注意事項</w:t>
      </w:r>
    </w:p>
    <w:p w14:paraId="24732195" w14:textId="5AB66D0B" w:rsidR="00F74ED5" w:rsidRPr="00F70B11" w:rsidRDefault="00F74ED5" w:rsidP="00F70B11">
      <w:pPr>
        <w:autoSpaceDE w:val="0"/>
        <w:autoSpaceDN w:val="0"/>
        <w:adjustRightInd w:val="0"/>
        <w:snapToGrid w:val="0"/>
        <w:spacing w:line="400" w:lineRule="atLeast"/>
        <w:ind w:leftChars="59" w:left="475" w:rightChars="-60" w:right="-144" w:hangingChars="119" w:hanging="333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F70B11">
        <w:rPr>
          <w:rFonts w:ascii="Times New Roman" w:eastAsia="標楷體" w:hAnsi="Times New Roman" w:hint="eastAsia"/>
          <w:kern w:val="0"/>
          <w:sz w:val="28"/>
          <w:szCs w:val="28"/>
        </w:rPr>
        <w:t>(1)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免疫抑制劑：狼瘡治療常用的免疫抑制劑，如甲氨蝶</w:t>
      </w:r>
      <w:proofErr w:type="gramStart"/>
      <w:r w:rsidRPr="00F70B11">
        <w:rPr>
          <w:rFonts w:ascii="Times New Roman" w:eastAsia="標楷體" w:hAnsi="Times New Roman"/>
          <w:kern w:val="0"/>
          <w:sz w:val="28"/>
          <w:szCs w:val="28"/>
        </w:rPr>
        <w:t>呤</w:t>
      </w:r>
      <w:proofErr w:type="gramEnd"/>
      <w:r w:rsidRPr="00F70B11">
        <w:rPr>
          <w:rFonts w:ascii="Times New Roman" w:eastAsia="標楷體" w:hAnsi="Times New Roman"/>
          <w:kern w:val="0"/>
          <w:sz w:val="28"/>
          <w:szCs w:val="28"/>
        </w:rPr>
        <w:t>(Methotrexate)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、環磷酰胺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(Cyclophosphamide)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、類固醇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(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如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Prednisolone)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，可能會增加感染的風險，這在進行牙科手術或</w:t>
      </w:r>
      <w:proofErr w:type="gramStart"/>
      <w:r w:rsidRPr="00F70B11">
        <w:rPr>
          <w:rFonts w:ascii="Times New Roman" w:eastAsia="標楷體" w:hAnsi="Times New Roman"/>
          <w:kern w:val="0"/>
          <w:sz w:val="28"/>
          <w:szCs w:val="28"/>
        </w:rPr>
        <w:t>植牙時尤其</w:t>
      </w:r>
      <w:proofErr w:type="gramEnd"/>
      <w:r w:rsidRPr="00F70B11">
        <w:rPr>
          <w:rFonts w:ascii="Times New Roman" w:eastAsia="標楷體" w:hAnsi="Times New Roman"/>
          <w:kern w:val="0"/>
          <w:sz w:val="28"/>
          <w:szCs w:val="28"/>
        </w:rPr>
        <w:t>重要。這類藥物會抑制免疫系統，因此在進行牙科手術前後，需要密切監控</w:t>
      </w:r>
      <w:r w:rsidR="00E754FF">
        <w:rPr>
          <w:rFonts w:ascii="Times New Roman" w:eastAsia="標楷體" w:hAnsi="Times New Roman" w:hint="eastAsia"/>
          <w:kern w:val="0"/>
          <w:sz w:val="28"/>
          <w:szCs w:val="28"/>
        </w:rPr>
        <w:t>病人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的健康狀況，以及可能需要調整藥物用量、暫時停藥或術前使用抗生素。</w:t>
      </w:r>
    </w:p>
    <w:p w14:paraId="6FDC1E3A" w14:textId="77777777" w:rsidR="00F74ED5" w:rsidRPr="00F70B11" w:rsidRDefault="00F74ED5" w:rsidP="00F70B11">
      <w:pPr>
        <w:autoSpaceDE w:val="0"/>
        <w:autoSpaceDN w:val="0"/>
        <w:adjustRightInd w:val="0"/>
        <w:snapToGrid w:val="0"/>
        <w:spacing w:line="400" w:lineRule="atLeast"/>
        <w:ind w:leftChars="59" w:left="475" w:rightChars="-60" w:right="-144" w:hangingChars="119" w:hanging="333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F70B11">
        <w:rPr>
          <w:rFonts w:ascii="Times New Roman" w:eastAsia="標楷體" w:hAnsi="Times New Roman" w:hint="eastAsia"/>
          <w:kern w:val="0"/>
          <w:sz w:val="28"/>
          <w:szCs w:val="28"/>
        </w:rPr>
        <w:t>(2)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非類固醇</w:t>
      </w:r>
      <w:proofErr w:type="gramStart"/>
      <w:r w:rsidRPr="00F70B11">
        <w:rPr>
          <w:rFonts w:ascii="Times New Roman" w:eastAsia="標楷體" w:hAnsi="Times New Roman"/>
          <w:kern w:val="0"/>
          <w:sz w:val="28"/>
          <w:szCs w:val="28"/>
        </w:rPr>
        <w:t>抗炎藥</w:t>
      </w:r>
      <w:proofErr w:type="gramEnd"/>
      <w:r w:rsidRPr="00F70B11">
        <w:rPr>
          <w:rFonts w:ascii="Times New Roman" w:eastAsia="標楷體" w:hAnsi="Times New Roman"/>
          <w:kern w:val="0"/>
          <w:sz w:val="28"/>
          <w:szCs w:val="28"/>
        </w:rPr>
        <w:t>(NSAIDs)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：如布</w:t>
      </w:r>
      <w:proofErr w:type="gramStart"/>
      <w:r w:rsidRPr="00F70B11">
        <w:rPr>
          <w:rFonts w:ascii="Times New Roman" w:eastAsia="標楷體" w:hAnsi="Times New Roman"/>
          <w:kern w:val="0"/>
          <w:sz w:val="28"/>
          <w:szCs w:val="28"/>
        </w:rPr>
        <w:t>洛</w:t>
      </w:r>
      <w:proofErr w:type="gramEnd"/>
      <w:r w:rsidRPr="00F70B11">
        <w:rPr>
          <w:rFonts w:ascii="Times New Roman" w:eastAsia="標楷體" w:hAnsi="Times New Roman"/>
          <w:kern w:val="0"/>
          <w:sz w:val="28"/>
          <w:szCs w:val="28"/>
        </w:rPr>
        <w:t>芬</w:t>
      </w:r>
      <w:r w:rsidRPr="00F70B11">
        <w:rPr>
          <w:rFonts w:ascii="Times New Roman" w:eastAsia="標楷體" w:hAnsi="Times New Roman" w:hint="eastAsia"/>
          <w:kern w:val="0"/>
          <w:sz w:val="28"/>
          <w:szCs w:val="28"/>
        </w:rPr>
        <w:t>(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Ibuprofen</w:t>
      </w:r>
      <w:r w:rsidRPr="00F70B11">
        <w:rPr>
          <w:rFonts w:ascii="Times New Roman" w:eastAsia="標楷體" w:hAnsi="Times New Roman" w:hint="eastAsia"/>
          <w:kern w:val="0"/>
          <w:sz w:val="28"/>
          <w:szCs w:val="28"/>
        </w:rPr>
        <w:t>)</w:t>
      </w:r>
      <w:proofErr w:type="gramStart"/>
      <w:r w:rsidRPr="00F70B11">
        <w:rPr>
          <w:rFonts w:ascii="Times New Roman" w:eastAsia="標楷體" w:hAnsi="Times New Roman"/>
          <w:kern w:val="0"/>
          <w:sz w:val="28"/>
          <w:szCs w:val="28"/>
        </w:rPr>
        <w:t>或阿</w:t>
      </w:r>
      <w:r w:rsidRPr="00F70B11">
        <w:rPr>
          <w:rFonts w:ascii="Times New Roman" w:eastAsia="標楷體" w:hAnsi="Times New Roman" w:hint="eastAsia"/>
          <w:kern w:val="0"/>
          <w:sz w:val="28"/>
          <w:szCs w:val="28"/>
        </w:rPr>
        <w:t>斯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匹林</w:t>
      </w:r>
      <w:proofErr w:type="gramEnd"/>
      <w:r w:rsidRPr="00F70B11">
        <w:rPr>
          <w:rFonts w:ascii="Times New Roman" w:eastAsia="標楷體" w:hAnsi="Times New Roman" w:hint="eastAsia"/>
          <w:kern w:val="0"/>
          <w:sz w:val="28"/>
          <w:szCs w:val="28"/>
        </w:rPr>
        <w:t>(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Aspirin</w:t>
      </w:r>
      <w:r w:rsidRPr="00F70B11">
        <w:rPr>
          <w:rFonts w:ascii="Times New Roman" w:eastAsia="標楷體" w:hAnsi="Times New Roman" w:hint="eastAsia"/>
          <w:kern w:val="0"/>
          <w:sz w:val="28"/>
          <w:szCs w:val="28"/>
        </w:rPr>
        <w:t>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，常用於控制狼瘡相關的疼痛和發炎。然而，這些藥物可能會增加出血風險，特別是在牙科手術如拔牙或</w:t>
      </w:r>
      <w:proofErr w:type="gramStart"/>
      <w:r w:rsidRPr="00F70B11">
        <w:rPr>
          <w:rFonts w:ascii="Times New Roman" w:eastAsia="標楷體" w:hAnsi="Times New Roman"/>
          <w:kern w:val="0"/>
          <w:sz w:val="28"/>
          <w:szCs w:val="28"/>
        </w:rPr>
        <w:t>植牙等情況</w:t>
      </w:r>
      <w:proofErr w:type="gramEnd"/>
      <w:r w:rsidRPr="00F70B11">
        <w:rPr>
          <w:rFonts w:ascii="Times New Roman" w:eastAsia="標楷體" w:hAnsi="Times New Roman"/>
          <w:kern w:val="0"/>
          <w:sz w:val="28"/>
          <w:szCs w:val="28"/>
        </w:rPr>
        <w:t>下。</w:t>
      </w:r>
    </w:p>
    <w:p w14:paraId="6A8093C0" w14:textId="5B48ECBF" w:rsidR="00F74ED5" w:rsidRPr="00F70B11" w:rsidRDefault="00F74ED5" w:rsidP="00F70B11">
      <w:pPr>
        <w:autoSpaceDE w:val="0"/>
        <w:autoSpaceDN w:val="0"/>
        <w:adjustRightInd w:val="0"/>
        <w:snapToGrid w:val="0"/>
        <w:spacing w:line="400" w:lineRule="atLeast"/>
        <w:ind w:leftChars="59" w:left="475" w:rightChars="-60" w:right="-144" w:hangingChars="119" w:hanging="333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F70B11">
        <w:rPr>
          <w:rFonts w:ascii="Times New Roman" w:eastAsia="標楷體" w:hAnsi="Times New Roman" w:hint="eastAsia"/>
          <w:kern w:val="0"/>
          <w:sz w:val="28"/>
          <w:szCs w:val="28"/>
        </w:rPr>
        <w:t>(3)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抗凝血藥物：例如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Warfarin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，用於預防血栓，對於有抗磷脂症候群的狼瘡</w:t>
      </w:r>
      <w:r w:rsidR="00F70B11">
        <w:rPr>
          <w:rFonts w:ascii="Times New Roman" w:eastAsia="標楷體" w:hAnsi="Times New Roman" w:hint="eastAsia"/>
          <w:kern w:val="0"/>
          <w:sz w:val="28"/>
          <w:szCs w:val="28"/>
        </w:rPr>
        <w:t>病人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來說尤其重要。在牙科手術中，使用這類藥物需要格外注意，因為可能會增加出血的風險。</w:t>
      </w:r>
    </w:p>
    <w:p w14:paraId="61B1102E" w14:textId="77777777" w:rsidR="00F74ED5" w:rsidRPr="00F70B11" w:rsidRDefault="00F74ED5" w:rsidP="00F74ED5">
      <w:pPr>
        <w:pStyle w:val="af3"/>
        <w:widowControl/>
        <w:numPr>
          <w:ilvl w:val="0"/>
          <w:numId w:val="45"/>
        </w:numPr>
        <w:adjustRightInd w:val="0"/>
        <w:snapToGrid w:val="0"/>
        <w:spacing w:line="240" w:lineRule="atLeast"/>
        <w:ind w:leftChars="0" w:left="284" w:hanging="284"/>
        <w:jc w:val="both"/>
        <w:rPr>
          <w:rFonts w:ascii="Times New Roman" w:eastAsia="標楷體" w:hAnsi="Times New Roman"/>
          <w:kern w:val="0"/>
          <w:sz w:val="28"/>
          <w:szCs w:val="28"/>
        </w:rPr>
      </w:pPr>
      <w:r w:rsidRPr="00F70B11">
        <w:rPr>
          <w:rFonts w:ascii="Times New Roman" w:eastAsia="標楷體" w:hAnsi="Times New Roman"/>
          <w:kern w:val="0"/>
          <w:sz w:val="28"/>
          <w:szCs w:val="28"/>
        </w:rPr>
        <w:t>乾燥症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(Sjögren</w:t>
      </w:r>
      <w:proofErr w:type="gramStart"/>
      <w:r w:rsidRPr="00F70B11">
        <w:rPr>
          <w:rFonts w:ascii="Times New Roman" w:eastAsia="標楷體" w:hAnsi="Times New Roman"/>
          <w:kern w:val="0"/>
          <w:sz w:val="28"/>
          <w:szCs w:val="28"/>
        </w:rPr>
        <w:t>’</w:t>
      </w:r>
      <w:proofErr w:type="gramEnd"/>
      <w:r w:rsidRPr="00F70B11">
        <w:rPr>
          <w:rFonts w:ascii="Times New Roman" w:eastAsia="標楷體" w:hAnsi="Times New Roman"/>
          <w:kern w:val="0"/>
          <w:sz w:val="28"/>
          <w:szCs w:val="28"/>
        </w:rPr>
        <w:t>s Syndrome)</w:t>
      </w:r>
      <w:proofErr w:type="gramStart"/>
      <w:r w:rsidRPr="00F70B11">
        <w:rPr>
          <w:rFonts w:ascii="Times New Roman" w:eastAsia="標楷體" w:hAnsi="Times New Roman"/>
          <w:kern w:val="0"/>
          <w:sz w:val="28"/>
          <w:szCs w:val="28"/>
        </w:rPr>
        <w:t>–</w:t>
      </w:r>
      <w:proofErr w:type="gramEnd"/>
      <w:r w:rsidRPr="00F70B11">
        <w:rPr>
          <w:rFonts w:ascii="Times New Roman" w:eastAsia="標楷體" w:hAnsi="Times New Roman"/>
          <w:kern w:val="0"/>
          <w:sz w:val="28"/>
          <w:szCs w:val="28"/>
        </w:rPr>
        <w:t>用藥注意事項</w:t>
      </w:r>
    </w:p>
    <w:p w14:paraId="60C68FF9" w14:textId="77777777" w:rsidR="00F74ED5" w:rsidRPr="00F70B11" w:rsidRDefault="00F74ED5" w:rsidP="00F74ED5">
      <w:pPr>
        <w:autoSpaceDE w:val="0"/>
        <w:autoSpaceDN w:val="0"/>
        <w:adjustRightInd w:val="0"/>
        <w:snapToGrid w:val="0"/>
        <w:spacing w:line="400" w:lineRule="atLeast"/>
        <w:ind w:left="175" w:rightChars="104" w:right="250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F70B11">
        <w:rPr>
          <w:rFonts w:ascii="Times New Roman" w:eastAsia="標楷體" w:hAnsi="Times New Roman"/>
          <w:kern w:val="0"/>
          <w:sz w:val="28"/>
          <w:szCs w:val="28"/>
        </w:rPr>
        <w:t>(1)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抗生素與局部免疫調節劑：</w:t>
      </w:r>
    </w:p>
    <w:p w14:paraId="3C8E2670" w14:textId="77777777" w:rsidR="00F74ED5" w:rsidRPr="00F70B11" w:rsidRDefault="00F74ED5" w:rsidP="00F74ED5">
      <w:pPr>
        <w:autoSpaceDE w:val="0"/>
        <w:autoSpaceDN w:val="0"/>
        <w:adjustRightInd w:val="0"/>
        <w:snapToGrid w:val="0"/>
        <w:spacing w:line="400" w:lineRule="atLeast"/>
        <w:ind w:left="459" w:rightChars="-32" w:right="-77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F70B11">
        <w:rPr>
          <w:rFonts w:ascii="Times New Roman" w:eastAsia="標楷體" w:hAnsi="Times New Roman"/>
          <w:kern w:val="0"/>
          <w:sz w:val="28"/>
          <w:szCs w:val="28"/>
        </w:rPr>
        <w:t>牙科常用的抗生素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(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如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Amoxicillin)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與皮膚用的局部免疫調節劑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(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如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Tacrolimus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軟膏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一般不會直接互相排斥，但如果體內免疫反應受到影響，可能會改變感染的治療效果。</w:t>
      </w:r>
    </w:p>
    <w:p w14:paraId="34656E81" w14:textId="77777777" w:rsidR="00F74ED5" w:rsidRPr="00F70B11" w:rsidRDefault="00F74ED5" w:rsidP="00F74ED5">
      <w:pPr>
        <w:autoSpaceDE w:val="0"/>
        <w:autoSpaceDN w:val="0"/>
        <w:adjustRightInd w:val="0"/>
        <w:snapToGrid w:val="0"/>
        <w:spacing w:line="400" w:lineRule="atLeast"/>
        <w:ind w:left="175" w:rightChars="104" w:right="250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F70B11">
        <w:rPr>
          <w:rFonts w:ascii="Times New Roman" w:eastAsia="標楷體" w:hAnsi="Times New Roman"/>
          <w:kern w:val="0"/>
          <w:sz w:val="28"/>
          <w:szCs w:val="28"/>
        </w:rPr>
        <w:t>(2)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非類固醇</w:t>
      </w:r>
      <w:proofErr w:type="gramStart"/>
      <w:r w:rsidRPr="00F70B11">
        <w:rPr>
          <w:rFonts w:ascii="Times New Roman" w:eastAsia="標楷體" w:hAnsi="Times New Roman"/>
          <w:kern w:val="0"/>
          <w:sz w:val="28"/>
          <w:szCs w:val="28"/>
        </w:rPr>
        <w:t>抗炎藥</w:t>
      </w:r>
      <w:proofErr w:type="gramEnd"/>
      <w:r w:rsidRPr="00F70B11">
        <w:rPr>
          <w:rFonts w:ascii="Times New Roman" w:eastAsia="標楷體" w:hAnsi="Times New Roman"/>
          <w:kern w:val="0"/>
          <w:sz w:val="28"/>
          <w:szCs w:val="28"/>
        </w:rPr>
        <w:t>(NSAIDs)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與眼科用</w:t>
      </w:r>
      <w:proofErr w:type="gramStart"/>
      <w:r w:rsidRPr="00F70B11">
        <w:rPr>
          <w:rFonts w:ascii="Times New Roman" w:eastAsia="標楷體" w:hAnsi="Times New Roman"/>
          <w:kern w:val="0"/>
          <w:sz w:val="28"/>
          <w:szCs w:val="28"/>
        </w:rPr>
        <w:t>抗炎藥</w:t>
      </w:r>
      <w:proofErr w:type="gramEnd"/>
      <w:r w:rsidRPr="00F70B11">
        <w:rPr>
          <w:rFonts w:ascii="Times New Roman" w:eastAsia="標楷體" w:hAnsi="Times New Roman"/>
          <w:kern w:val="0"/>
          <w:sz w:val="28"/>
          <w:szCs w:val="28"/>
        </w:rPr>
        <w:t>：</w:t>
      </w:r>
    </w:p>
    <w:p w14:paraId="324D2035" w14:textId="77777777" w:rsidR="00F74ED5" w:rsidRPr="00F70B11" w:rsidRDefault="00F74ED5" w:rsidP="00F74ED5">
      <w:pPr>
        <w:autoSpaceDE w:val="0"/>
        <w:autoSpaceDN w:val="0"/>
        <w:adjustRightInd w:val="0"/>
        <w:snapToGrid w:val="0"/>
        <w:spacing w:line="400" w:lineRule="atLeast"/>
        <w:ind w:left="459" w:rightChars="-32" w:right="-77"/>
        <w:jc w:val="both"/>
        <w:textAlignment w:val="bottom"/>
        <w:rPr>
          <w:rFonts w:ascii="Times New Roman" w:eastAsia="標楷體" w:hAnsi="Times New Roman"/>
          <w:kern w:val="0"/>
          <w:sz w:val="28"/>
          <w:szCs w:val="28"/>
        </w:rPr>
      </w:pPr>
      <w:r w:rsidRPr="00F70B11">
        <w:rPr>
          <w:rFonts w:ascii="Times New Roman" w:eastAsia="標楷體" w:hAnsi="Times New Roman"/>
          <w:kern w:val="0"/>
          <w:sz w:val="28"/>
          <w:szCs w:val="28"/>
        </w:rPr>
        <w:t>牙科常用的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NSAIDs(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如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Ibuprofen)</w:t>
      </w:r>
      <w:r w:rsidRPr="00F70B11">
        <w:rPr>
          <w:rFonts w:ascii="Times New Roman" w:eastAsia="標楷體" w:hAnsi="Times New Roman"/>
          <w:kern w:val="0"/>
          <w:sz w:val="28"/>
          <w:szCs w:val="28"/>
        </w:rPr>
        <w:t>用於控制疼痛和炎症，而眼科用的環</w:t>
      </w:r>
      <w:proofErr w:type="gramStart"/>
      <w:r w:rsidRPr="00F70B11">
        <w:rPr>
          <w:rFonts w:ascii="Times New Roman" w:eastAsia="標楷體" w:hAnsi="Times New Roman"/>
          <w:kern w:val="0"/>
          <w:sz w:val="28"/>
          <w:szCs w:val="28"/>
        </w:rPr>
        <w:t>孢</w:t>
      </w:r>
      <w:proofErr w:type="gramEnd"/>
      <w:r w:rsidRPr="00F70B11">
        <w:rPr>
          <w:rFonts w:ascii="Times New Roman" w:eastAsia="標楷體" w:hAnsi="Times New Roman"/>
          <w:kern w:val="0"/>
          <w:sz w:val="28"/>
          <w:szCs w:val="28"/>
        </w:rPr>
        <w:t>素</w:t>
      </w:r>
      <w:proofErr w:type="gramStart"/>
      <w:r w:rsidRPr="00F70B11">
        <w:rPr>
          <w:rFonts w:ascii="Times New Roman" w:eastAsia="標楷體" w:hAnsi="Times New Roman"/>
          <w:kern w:val="0"/>
          <w:sz w:val="28"/>
          <w:szCs w:val="28"/>
        </w:rPr>
        <w:t>等抗炎</w:t>
      </w:r>
      <w:proofErr w:type="gramEnd"/>
      <w:r w:rsidRPr="00F70B11">
        <w:rPr>
          <w:rFonts w:ascii="Times New Roman" w:eastAsia="標楷體" w:hAnsi="Times New Roman"/>
          <w:kern w:val="0"/>
          <w:sz w:val="28"/>
          <w:szCs w:val="28"/>
        </w:rPr>
        <w:t>眼藥水也用來減輕炎症。同時使用這兩類藥物時，需要注意潛在的腎臟負擔增加。</w:t>
      </w:r>
    </w:p>
    <w:tbl>
      <w:tblPr>
        <w:tblW w:w="10349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0"/>
        <w:gridCol w:w="1843"/>
        <w:gridCol w:w="7116"/>
      </w:tblGrid>
      <w:tr w:rsidR="00F74ED5" w:rsidRPr="002A31CA" w14:paraId="441B7143" w14:textId="77777777" w:rsidTr="00747490">
        <w:tc>
          <w:tcPr>
            <w:tcW w:w="1390" w:type="dxa"/>
            <w:shd w:val="clear" w:color="auto" w:fill="auto"/>
          </w:tcPr>
          <w:p w14:paraId="564A70C3" w14:textId="77777777" w:rsidR="00F74ED5" w:rsidRPr="002A31CA" w:rsidRDefault="00F74ED5" w:rsidP="00747490">
            <w:pPr>
              <w:adjustRightInd w:val="0"/>
              <w:snapToGrid w:val="0"/>
              <w:spacing w:line="240" w:lineRule="atLeast"/>
              <w:ind w:rightChars="-45" w:right="-108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已確認</w:t>
            </w: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(V)</w:t>
            </w:r>
          </w:p>
        </w:tc>
        <w:tc>
          <w:tcPr>
            <w:tcW w:w="1843" w:type="dxa"/>
            <w:shd w:val="clear" w:color="auto" w:fill="auto"/>
          </w:tcPr>
          <w:p w14:paraId="00D4C6F4" w14:textId="77777777" w:rsidR="00F74ED5" w:rsidRPr="002A31CA" w:rsidRDefault="00F74ED5" w:rsidP="00747490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病名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/</w:t>
            </w:r>
            <w:r w:rsidRPr="002A31CA">
              <w:rPr>
                <w:rFonts w:ascii="Times New Roman" w:eastAsia="標楷體" w:hAnsi="Times New Roman"/>
                <w:b/>
                <w:sz w:val="28"/>
                <w:szCs w:val="28"/>
              </w:rPr>
              <w:t>藥物</w:t>
            </w:r>
          </w:p>
        </w:tc>
        <w:tc>
          <w:tcPr>
            <w:tcW w:w="7116" w:type="dxa"/>
            <w:shd w:val="clear" w:color="auto" w:fill="auto"/>
          </w:tcPr>
          <w:p w14:paraId="7DE13782" w14:textId="77777777" w:rsidR="00F74ED5" w:rsidRPr="002A31CA" w:rsidRDefault="00F74ED5" w:rsidP="00747490">
            <w:pPr>
              <w:adjustRightInd w:val="0"/>
              <w:snapToGrid w:val="0"/>
              <w:spacing w:line="240" w:lineRule="atLeast"/>
              <w:jc w:val="center"/>
              <w:rPr>
                <w:rFonts w:ascii="Times New Roman" w:eastAsia="標楷體" w:hAnsi="Times New Roman"/>
                <w:b/>
                <w:sz w:val="28"/>
                <w:szCs w:val="28"/>
              </w:rPr>
            </w:pPr>
            <w:r w:rsidRPr="002A31CA">
              <w:rPr>
                <w:rFonts w:ascii="Times New Roman" w:eastAsia="標楷體" w:hAnsi="Times New Roman" w:hint="eastAsia"/>
                <w:b/>
                <w:sz w:val="28"/>
                <w:szCs w:val="28"/>
              </w:rPr>
              <w:t>注意事項</w:t>
            </w:r>
          </w:p>
        </w:tc>
      </w:tr>
      <w:tr w:rsidR="00F74ED5" w:rsidRPr="002A31CA" w14:paraId="1B408143" w14:textId="77777777" w:rsidTr="00747490">
        <w:tc>
          <w:tcPr>
            <w:tcW w:w="1390" w:type="dxa"/>
            <w:shd w:val="clear" w:color="auto" w:fill="auto"/>
          </w:tcPr>
          <w:p w14:paraId="6BD4E018" w14:textId="77777777" w:rsidR="00F74ED5" w:rsidRPr="002A31CA" w:rsidRDefault="00F74ED5" w:rsidP="00FE21FF">
            <w:pPr>
              <w:ind w:right="-1"/>
              <w:jc w:val="both"/>
              <w:rPr>
                <w:rFonts w:ascii="Times New Roman" w:eastAsia="標楷體" w:hAnsi="Times New Roman"/>
                <w:b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60A5E0DE" w14:textId="4D420321" w:rsidR="00F74ED5" w:rsidRPr="00E754FF" w:rsidRDefault="00F74ED5" w:rsidP="00FE21FF">
            <w:pPr>
              <w:autoSpaceDE w:val="0"/>
              <w:autoSpaceDN w:val="0"/>
              <w:adjustRightInd w:val="0"/>
              <w:snapToGrid w:val="0"/>
              <w:spacing w:line="400" w:lineRule="atLeast"/>
              <w:ind w:rightChars="104" w:right="250"/>
              <w:jc w:val="both"/>
              <w:textAlignment w:val="bottom"/>
              <w:rPr>
                <w:rFonts w:ascii="Times New Roman" w:eastAsia="標楷體" w:hAnsi="Times New Roman"/>
                <w:b/>
                <w:kern w:val="0"/>
                <w:sz w:val="28"/>
                <w:szCs w:val="28"/>
              </w:rPr>
            </w:pPr>
            <w:r w:rsidRPr="00E754FF">
              <w:rPr>
                <w:rFonts w:ascii="Times New Roman" w:eastAsia="標楷體" w:hAnsi="Times New Roman" w:hint="eastAsia"/>
                <w:b/>
                <w:kern w:val="0"/>
                <w:sz w:val="28"/>
                <w:szCs w:val="28"/>
              </w:rPr>
              <w:t>十三、其他未明示之疾病</w:t>
            </w:r>
          </w:p>
        </w:tc>
        <w:tc>
          <w:tcPr>
            <w:tcW w:w="7116" w:type="dxa"/>
            <w:shd w:val="clear" w:color="auto" w:fill="auto"/>
          </w:tcPr>
          <w:p w14:paraId="56B09112" w14:textId="77777777" w:rsidR="00F74ED5" w:rsidRPr="00E754FF" w:rsidRDefault="00F74ED5" w:rsidP="0074749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481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754FF">
              <w:rPr>
                <w:rFonts w:ascii="Times New Roman" w:eastAsia="標楷體" w:hAnsi="Times New Roman"/>
                <w:kern w:val="0"/>
                <w:sz w:val="28"/>
                <w:szCs w:val="28"/>
              </w:rPr>
              <w:t>查詢</w:t>
            </w:r>
            <w:r w:rsidRPr="00E754FF">
              <w:rPr>
                <w:rFonts w:ascii="細明體" w:eastAsia="標楷體" w:hAnsi="Times New Roman" w:hint="eastAsia"/>
                <w:kern w:val="0"/>
                <w:sz w:val="28"/>
                <w:szCs w:val="28"/>
              </w:rPr>
              <w:t>健保醫療資訊雲端查詢系統</w:t>
            </w:r>
            <w:r w:rsidRPr="00E754FF">
              <w:rPr>
                <w:rFonts w:ascii="細明體" w:eastAsia="標楷體" w:hAnsi="Times New Roman"/>
                <w:kern w:val="0"/>
                <w:sz w:val="28"/>
                <w:szCs w:val="28"/>
              </w:rPr>
              <w:t>並</w:t>
            </w:r>
            <w:r w:rsidRPr="00E754FF">
              <w:rPr>
                <w:rFonts w:ascii="Times New Roman" w:eastAsia="標楷體" w:hAnsi="Times New Roman"/>
                <w:kern w:val="0"/>
                <w:sz w:val="28"/>
                <w:szCs w:val="28"/>
              </w:rPr>
              <w:t>詢問病人用藥</w:t>
            </w:r>
            <w:r w:rsidRPr="00E754FF">
              <w:rPr>
                <w:rFonts w:ascii="Times New Roman" w:eastAsia="標楷體" w:hAnsi="Times New Roman"/>
                <w:kern w:val="0"/>
                <w:sz w:val="28"/>
                <w:szCs w:val="28"/>
              </w:rPr>
              <w:t>(</w:t>
            </w:r>
            <w:r w:rsidRPr="00E754FF">
              <w:rPr>
                <w:rFonts w:ascii="Times New Roman" w:eastAsia="標楷體" w:hAnsi="Times New Roman"/>
                <w:kern w:val="0"/>
                <w:sz w:val="28"/>
                <w:szCs w:val="28"/>
              </w:rPr>
              <w:t>病史詢問</w:t>
            </w:r>
            <w:r w:rsidRPr="00E754FF">
              <w:rPr>
                <w:rFonts w:ascii="Times New Roman" w:eastAsia="標楷體" w:hAnsi="Times New Roman"/>
                <w:kern w:val="0"/>
                <w:sz w:val="28"/>
                <w:szCs w:val="28"/>
              </w:rPr>
              <w:t>)</w:t>
            </w:r>
            <w:r w:rsidRPr="00E754FF">
              <w:rPr>
                <w:rFonts w:ascii="Times New Roman" w:eastAsia="標楷體" w:hAnsi="Times New Roman"/>
                <w:kern w:val="0"/>
                <w:sz w:val="28"/>
                <w:szCs w:val="28"/>
              </w:rPr>
              <w:t>且記載於病歷。</w:t>
            </w:r>
          </w:p>
          <w:p w14:paraId="4EBA3302" w14:textId="77777777" w:rsidR="00F74ED5" w:rsidRPr="00E754FF" w:rsidRDefault="00F74ED5" w:rsidP="0074749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481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754FF">
              <w:rPr>
                <w:rFonts w:ascii="Times New Roman" w:eastAsia="標楷體" w:hAnsi="Times New Roman"/>
                <w:kern w:val="0"/>
                <w:sz w:val="28"/>
                <w:szCs w:val="28"/>
              </w:rPr>
              <w:t>告知病人使用藥物帶來的影響及相關風險。</w:t>
            </w:r>
          </w:p>
          <w:p w14:paraId="5843BAE7" w14:textId="77777777" w:rsidR="00F74ED5" w:rsidRPr="00E754FF" w:rsidRDefault="00F74ED5" w:rsidP="0074749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481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E754FF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遵循原開藥醫師開立之醫囑。</w:t>
            </w:r>
          </w:p>
          <w:p w14:paraId="39660E54" w14:textId="77777777" w:rsidR="00F74ED5" w:rsidRPr="00747490" w:rsidRDefault="00F74ED5" w:rsidP="0074749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napToGrid w:val="0"/>
              <w:spacing w:line="400" w:lineRule="atLeast"/>
              <w:ind w:left="481" w:rightChars="104" w:right="250" w:hanging="481"/>
              <w:jc w:val="both"/>
              <w:textAlignment w:val="bottom"/>
              <w:rPr>
                <w:rFonts w:ascii="Times New Roman" w:eastAsia="標楷體" w:hAnsi="Times New Roman"/>
                <w:kern w:val="0"/>
                <w:sz w:val="28"/>
                <w:szCs w:val="28"/>
              </w:rPr>
            </w:pPr>
            <w:r w:rsidRPr="00747490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若無法掌握病人病程的狀況，在</w:t>
            </w:r>
            <w:proofErr w:type="gramStart"/>
            <w:r w:rsidRPr="00747490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治療前宜照會</w:t>
            </w:r>
            <w:proofErr w:type="gramEnd"/>
            <w:r w:rsidRPr="00747490">
              <w:rPr>
                <w:rFonts w:ascii="Times New Roman" w:eastAsia="標楷體" w:hAnsi="Times New Roman" w:hint="eastAsia"/>
                <w:kern w:val="0"/>
                <w:sz w:val="28"/>
                <w:szCs w:val="28"/>
              </w:rPr>
              <w:t>或轉診至其他相關單位做進一步診治。</w:t>
            </w:r>
          </w:p>
        </w:tc>
      </w:tr>
    </w:tbl>
    <w:p w14:paraId="0B67E464" w14:textId="1DC2CEAB" w:rsidR="00F74ED5" w:rsidRDefault="00F74ED5" w:rsidP="00EB24AD">
      <w:pPr>
        <w:widowControl/>
        <w:adjustRightInd w:val="0"/>
        <w:snapToGrid w:val="0"/>
        <w:ind w:leftChars="-235" w:left="284" w:rightChars="-236" w:right="-566" w:hangingChars="303" w:hanging="848"/>
        <w:jc w:val="both"/>
        <w:rPr>
          <w:rFonts w:ascii="Times New Roman" w:eastAsia="標楷體" w:hAnsi="Times New Roman" w:cs="Times New Roman" w:hint="eastAsia"/>
          <w:b/>
          <w:sz w:val="32"/>
          <w:szCs w:val="32"/>
        </w:rPr>
      </w:pPr>
      <w:r w:rsidRPr="002A31CA">
        <w:rPr>
          <w:rFonts w:ascii="Times New Roman" w:eastAsia="標楷體" w:hAnsi="Times New Roman" w:hint="eastAsia"/>
          <w:sz w:val="28"/>
          <w:szCs w:val="28"/>
        </w:rPr>
        <w:t>備註：該院所該牙醫師當年度第一次申報「特定疾病病人牙科就醫安全」</w:t>
      </w:r>
      <w:r w:rsidRPr="002A31CA">
        <w:rPr>
          <w:rFonts w:ascii="Times New Roman" w:eastAsia="標楷體" w:hAnsi="Times New Roman" w:hint="eastAsia"/>
          <w:sz w:val="28"/>
          <w:szCs w:val="28"/>
        </w:rPr>
        <w:t>(P3601C)</w:t>
      </w:r>
      <w:r w:rsidRPr="002A31CA">
        <w:rPr>
          <w:rFonts w:ascii="Times New Roman" w:eastAsia="標楷體" w:hAnsi="Times New Roman" w:hint="eastAsia"/>
          <w:sz w:val="28"/>
          <w:szCs w:val="28"/>
        </w:rPr>
        <w:t>時，須填寫特定疾病病人牙科就醫安全計畫醫師自我考評表，並留存於牙醫病歷備查。本計畫</w:t>
      </w:r>
      <w:proofErr w:type="gramStart"/>
      <w:r w:rsidRPr="002A31CA">
        <w:rPr>
          <w:rFonts w:ascii="Times New Roman" w:eastAsia="標楷體" w:hAnsi="Times New Roman" w:hint="eastAsia"/>
          <w:sz w:val="28"/>
          <w:szCs w:val="28"/>
        </w:rPr>
        <w:t>案件抽審時</w:t>
      </w:r>
      <w:proofErr w:type="gramEnd"/>
      <w:r w:rsidRPr="002A31CA">
        <w:rPr>
          <w:rFonts w:ascii="Times New Roman" w:eastAsia="標楷體" w:hAnsi="Times New Roman" w:hint="eastAsia"/>
          <w:sz w:val="28"/>
          <w:szCs w:val="28"/>
        </w:rPr>
        <w:t>，一併附上</w:t>
      </w:r>
    </w:p>
    <w:sectPr w:rsidR="00F74ED5" w:rsidSect="000E1BD7">
      <w:footerReference w:type="default" r:id="rId8"/>
      <w:pgSz w:w="11906" w:h="16838"/>
      <w:pgMar w:top="1134" w:right="1418" w:bottom="1134" w:left="1134" w:header="851" w:footer="386" w:gutter="0"/>
      <w:pgNumType w:start="5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C3DCA7" w14:textId="77777777" w:rsidR="00972D56" w:rsidRDefault="00972D56" w:rsidP="001D03C5">
      <w:r>
        <w:separator/>
      </w:r>
    </w:p>
  </w:endnote>
  <w:endnote w:type="continuationSeparator" w:id="0">
    <w:p w14:paraId="0D094EEC" w14:textId="77777777" w:rsidR="00972D56" w:rsidRDefault="00972D56" w:rsidP="001D03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全真楷書">
    <w:altName w:val="微軟正黑體"/>
    <w:charset w:val="88"/>
    <w:family w:val="modern"/>
    <w:pitch w:val="fixed"/>
    <w:sig w:usb0="00000000" w:usb1="08080000" w:usb2="00000010" w:usb3="00000000" w:csb0="001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51260977"/>
      <w:docPartObj>
        <w:docPartGallery w:val="Page Numbers (Bottom of Page)"/>
        <w:docPartUnique/>
      </w:docPartObj>
    </w:sdtPr>
    <w:sdtContent>
      <w:p w14:paraId="314E8A95" w14:textId="36C3928F" w:rsidR="000E1BD7" w:rsidRDefault="000E1BD7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TW"/>
          </w:rPr>
          <w:t>2</w:t>
        </w:r>
        <w:r>
          <w:fldChar w:fldCharType="end"/>
        </w:r>
      </w:p>
    </w:sdtContent>
  </w:sdt>
  <w:p w14:paraId="08A470CC" w14:textId="6B4E2E2E" w:rsidR="00DF4FD3" w:rsidRDefault="00DF4FD3" w:rsidP="0091377F">
    <w:pPr>
      <w:pStyle w:val="a7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94C764" w14:textId="77777777" w:rsidR="00972D56" w:rsidRDefault="00972D56" w:rsidP="001D03C5">
      <w:r>
        <w:separator/>
      </w:r>
    </w:p>
  </w:footnote>
  <w:footnote w:type="continuationSeparator" w:id="0">
    <w:p w14:paraId="5F6CCC65" w14:textId="77777777" w:rsidR="00972D56" w:rsidRDefault="00972D56" w:rsidP="001D03C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7D860F2E"/>
    <w:lvl w:ilvl="0">
      <w:start w:val="1"/>
      <w:numFmt w:val="bullet"/>
      <w:pStyle w:val="a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" w15:restartNumberingAfterBreak="0">
    <w:nsid w:val="00C06E30"/>
    <w:multiLevelType w:val="hybridMultilevel"/>
    <w:tmpl w:val="5DAAB842"/>
    <w:lvl w:ilvl="0" w:tplc="0409000F">
      <w:start w:val="1"/>
      <w:numFmt w:val="decimal"/>
      <w:lvlText w:val="%1."/>
      <w:lvlJc w:val="left"/>
      <w:pPr>
        <w:ind w:left="1210" w:hanging="360"/>
      </w:pPr>
    </w:lvl>
    <w:lvl w:ilvl="1" w:tplc="04090019">
      <w:start w:val="1"/>
      <w:numFmt w:val="ideographTraditional"/>
      <w:lvlText w:val="%2、"/>
      <w:lvlJc w:val="left"/>
      <w:pPr>
        <w:ind w:left="394" w:hanging="480"/>
      </w:pPr>
    </w:lvl>
    <w:lvl w:ilvl="2" w:tplc="0409001B">
      <w:start w:val="1"/>
      <w:numFmt w:val="lowerRoman"/>
      <w:lvlText w:val="%3."/>
      <w:lvlJc w:val="right"/>
      <w:pPr>
        <w:ind w:left="874" w:hanging="480"/>
      </w:pPr>
    </w:lvl>
    <w:lvl w:ilvl="3" w:tplc="0409000F">
      <w:start w:val="1"/>
      <w:numFmt w:val="decimal"/>
      <w:lvlText w:val="%4."/>
      <w:lvlJc w:val="left"/>
      <w:pPr>
        <w:ind w:left="1354" w:hanging="480"/>
      </w:pPr>
    </w:lvl>
    <w:lvl w:ilvl="4" w:tplc="04090019">
      <w:start w:val="1"/>
      <w:numFmt w:val="ideographTraditional"/>
      <w:lvlText w:val="%5、"/>
      <w:lvlJc w:val="left"/>
      <w:pPr>
        <w:ind w:left="1834" w:hanging="480"/>
      </w:pPr>
    </w:lvl>
    <w:lvl w:ilvl="5" w:tplc="0409001B">
      <w:start w:val="1"/>
      <w:numFmt w:val="lowerRoman"/>
      <w:lvlText w:val="%6."/>
      <w:lvlJc w:val="right"/>
      <w:pPr>
        <w:ind w:left="2314" w:hanging="480"/>
      </w:pPr>
    </w:lvl>
    <w:lvl w:ilvl="6" w:tplc="0409000F">
      <w:start w:val="1"/>
      <w:numFmt w:val="decimal"/>
      <w:lvlText w:val="%7."/>
      <w:lvlJc w:val="left"/>
      <w:pPr>
        <w:ind w:left="2794" w:hanging="480"/>
      </w:pPr>
    </w:lvl>
    <w:lvl w:ilvl="7" w:tplc="04090019">
      <w:start w:val="1"/>
      <w:numFmt w:val="ideographTraditional"/>
      <w:lvlText w:val="%8、"/>
      <w:lvlJc w:val="left"/>
      <w:pPr>
        <w:ind w:left="3274" w:hanging="480"/>
      </w:pPr>
    </w:lvl>
    <w:lvl w:ilvl="8" w:tplc="0409001B">
      <w:start w:val="1"/>
      <w:numFmt w:val="lowerRoman"/>
      <w:lvlText w:val="%9."/>
      <w:lvlJc w:val="right"/>
      <w:pPr>
        <w:ind w:left="3754" w:hanging="480"/>
      </w:pPr>
    </w:lvl>
  </w:abstractNum>
  <w:abstractNum w:abstractNumId="2" w15:restartNumberingAfterBreak="0">
    <w:nsid w:val="03AC17C6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3" w15:restartNumberingAfterBreak="0">
    <w:nsid w:val="03D22C96"/>
    <w:multiLevelType w:val="hybridMultilevel"/>
    <w:tmpl w:val="862CA728"/>
    <w:lvl w:ilvl="0" w:tplc="0409000F">
      <w:start w:val="1"/>
      <w:numFmt w:val="decimal"/>
      <w:lvlText w:val="%1."/>
      <w:lvlJc w:val="left"/>
      <w:pPr>
        <w:ind w:left="1953" w:hanging="480"/>
      </w:pPr>
    </w:lvl>
    <w:lvl w:ilvl="1" w:tplc="04090019" w:tentative="1">
      <w:start w:val="1"/>
      <w:numFmt w:val="ideographTraditional"/>
      <w:lvlText w:val="%2、"/>
      <w:lvlJc w:val="left"/>
      <w:pPr>
        <w:ind w:left="2433" w:hanging="480"/>
      </w:pPr>
    </w:lvl>
    <w:lvl w:ilvl="2" w:tplc="0409001B" w:tentative="1">
      <w:start w:val="1"/>
      <w:numFmt w:val="lowerRoman"/>
      <w:lvlText w:val="%3."/>
      <w:lvlJc w:val="right"/>
      <w:pPr>
        <w:ind w:left="2913" w:hanging="480"/>
      </w:pPr>
    </w:lvl>
    <w:lvl w:ilvl="3" w:tplc="0409000F" w:tentative="1">
      <w:start w:val="1"/>
      <w:numFmt w:val="decimal"/>
      <w:lvlText w:val="%4."/>
      <w:lvlJc w:val="left"/>
      <w:pPr>
        <w:ind w:left="339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873" w:hanging="480"/>
      </w:pPr>
    </w:lvl>
    <w:lvl w:ilvl="5" w:tplc="0409001B" w:tentative="1">
      <w:start w:val="1"/>
      <w:numFmt w:val="lowerRoman"/>
      <w:lvlText w:val="%6."/>
      <w:lvlJc w:val="right"/>
      <w:pPr>
        <w:ind w:left="4353" w:hanging="480"/>
      </w:pPr>
    </w:lvl>
    <w:lvl w:ilvl="6" w:tplc="0409000F" w:tentative="1">
      <w:start w:val="1"/>
      <w:numFmt w:val="decimal"/>
      <w:lvlText w:val="%7."/>
      <w:lvlJc w:val="left"/>
      <w:pPr>
        <w:ind w:left="483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313" w:hanging="480"/>
      </w:pPr>
    </w:lvl>
    <w:lvl w:ilvl="8" w:tplc="0409001B" w:tentative="1">
      <w:start w:val="1"/>
      <w:numFmt w:val="lowerRoman"/>
      <w:lvlText w:val="%9."/>
      <w:lvlJc w:val="right"/>
      <w:pPr>
        <w:ind w:left="5793" w:hanging="480"/>
      </w:pPr>
    </w:lvl>
  </w:abstractNum>
  <w:abstractNum w:abstractNumId="4" w15:restartNumberingAfterBreak="0">
    <w:nsid w:val="07F61E8C"/>
    <w:multiLevelType w:val="hybridMultilevel"/>
    <w:tmpl w:val="2BC456F6"/>
    <w:lvl w:ilvl="0" w:tplc="0409000F">
      <w:start w:val="1"/>
      <w:numFmt w:val="decimal"/>
      <w:lvlText w:val="%1."/>
      <w:lvlJc w:val="left"/>
      <w:pPr>
        <w:ind w:left="787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267" w:hanging="480"/>
      </w:pPr>
    </w:lvl>
    <w:lvl w:ilvl="2" w:tplc="0409001B" w:tentative="1">
      <w:start w:val="1"/>
      <w:numFmt w:val="lowerRoman"/>
      <w:lvlText w:val="%3."/>
      <w:lvlJc w:val="right"/>
      <w:pPr>
        <w:ind w:left="1747" w:hanging="480"/>
      </w:pPr>
    </w:lvl>
    <w:lvl w:ilvl="3" w:tplc="0409000F">
      <w:start w:val="1"/>
      <w:numFmt w:val="decimal"/>
      <w:lvlText w:val="%4."/>
      <w:lvlJc w:val="left"/>
      <w:pPr>
        <w:ind w:left="222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07" w:hanging="480"/>
      </w:pPr>
    </w:lvl>
    <w:lvl w:ilvl="5" w:tplc="0409001B" w:tentative="1">
      <w:start w:val="1"/>
      <w:numFmt w:val="lowerRoman"/>
      <w:lvlText w:val="%6."/>
      <w:lvlJc w:val="right"/>
      <w:pPr>
        <w:ind w:left="3187" w:hanging="480"/>
      </w:pPr>
    </w:lvl>
    <w:lvl w:ilvl="6" w:tplc="0409000F" w:tentative="1">
      <w:start w:val="1"/>
      <w:numFmt w:val="decimal"/>
      <w:lvlText w:val="%7."/>
      <w:lvlJc w:val="left"/>
      <w:pPr>
        <w:ind w:left="366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47" w:hanging="480"/>
      </w:pPr>
    </w:lvl>
    <w:lvl w:ilvl="8" w:tplc="0409001B" w:tentative="1">
      <w:start w:val="1"/>
      <w:numFmt w:val="lowerRoman"/>
      <w:lvlText w:val="%9."/>
      <w:lvlJc w:val="right"/>
      <w:pPr>
        <w:ind w:left="4627" w:hanging="480"/>
      </w:pPr>
    </w:lvl>
  </w:abstractNum>
  <w:abstractNum w:abstractNumId="5" w15:restartNumberingAfterBreak="0">
    <w:nsid w:val="10843812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6" w15:restartNumberingAfterBreak="0">
    <w:nsid w:val="10B646CB"/>
    <w:multiLevelType w:val="hybridMultilevel"/>
    <w:tmpl w:val="DE723A06"/>
    <w:lvl w:ilvl="0" w:tplc="0409000F">
      <w:start w:val="1"/>
      <w:numFmt w:val="decimal"/>
      <w:lvlText w:val="%1."/>
      <w:lvlJc w:val="left"/>
      <w:pPr>
        <w:ind w:left="1473" w:hanging="480"/>
      </w:pPr>
    </w:lvl>
    <w:lvl w:ilvl="1" w:tplc="0409000F">
      <w:start w:val="1"/>
      <w:numFmt w:val="decimal"/>
      <w:lvlText w:val="%2."/>
      <w:lvlJc w:val="left"/>
      <w:pPr>
        <w:ind w:left="1953" w:hanging="480"/>
      </w:pPr>
    </w:lvl>
    <w:lvl w:ilvl="2" w:tplc="8814CDBC">
      <w:start w:val="1"/>
      <w:numFmt w:val="decimal"/>
      <w:lvlText w:val="(%3)"/>
      <w:lvlJc w:val="left"/>
      <w:pPr>
        <w:ind w:left="5039" w:hanging="360"/>
      </w:pPr>
      <w:rPr>
        <w:rFonts w:hint="default"/>
        <w:color w:val="auto"/>
      </w:rPr>
    </w:lvl>
    <w:lvl w:ilvl="3" w:tplc="0409000F" w:tentative="1">
      <w:start w:val="1"/>
      <w:numFmt w:val="decimal"/>
      <w:lvlText w:val="%4."/>
      <w:lvlJc w:val="left"/>
      <w:pPr>
        <w:ind w:left="291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93" w:hanging="480"/>
      </w:pPr>
    </w:lvl>
    <w:lvl w:ilvl="5" w:tplc="0409001B" w:tentative="1">
      <w:start w:val="1"/>
      <w:numFmt w:val="lowerRoman"/>
      <w:lvlText w:val="%6."/>
      <w:lvlJc w:val="right"/>
      <w:pPr>
        <w:ind w:left="3873" w:hanging="480"/>
      </w:pPr>
    </w:lvl>
    <w:lvl w:ilvl="6" w:tplc="0409000F" w:tentative="1">
      <w:start w:val="1"/>
      <w:numFmt w:val="decimal"/>
      <w:lvlText w:val="%7."/>
      <w:lvlJc w:val="left"/>
      <w:pPr>
        <w:ind w:left="435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833" w:hanging="480"/>
      </w:pPr>
    </w:lvl>
    <w:lvl w:ilvl="8" w:tplc="0409001B" w:tentative="1">
      <w:start w:val="1"/>
      <w:numFmt w:val="lowerRoman"/>
      <w:lvlText w:val="%9."/>
      <w:lvlJc w:val="right"/>
      <w:pPr>
        <w:ind w:left="5313" w:hanging="480"/>
      </w:pPr>
    </w:lvl>
  </w:abstractNum>
  <w:abstractNum w:abstractNumId="7" w15:restartNumberingAfterBreak="0">
    <w:nsid w:val="116F7C3F"/>
    <w:multiLevelType w:val="hybridMultilevel"/>
    <w:tmpl w:val="7F9E65D0"/>
    <w:lvl w:ilvl="0" w:tplc="0409000F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394" w:hanging="480"/>
      </w:pPr>
    </w:lvl>
    <w:lvl w:ilvl="2" w:tplc="0409001B">
      <w:start w:val="1"/>
      <w:numFmt w:val="lowerRoman"/>
      <w:lvlText w:val="%3."/>
      <w:lvlJc w:val="right"/>
      <w:pPr>
        <w:ind w:left="874" w:hanging="480"/>
      </w:pPr>
    </w:lvl>
    <w:lvl w:ilvl="3" w:tplc="0409000F">
      <w:start w:val="1"/>
      <w:numFmt w:val="decimal"/>
      <w:lvlText w:val="%4."/>
      <w:lvlJc w:val="left"/>
      <w:pPr>
        <w:ind w:left="1354" w:hanging="480"/>
      </w:pPr>
    </w:lvl>
    <w:lvl w:ilvl="4" w:tplc="04090019">
      <w:start w:val="1"/>
      <w:numFmt w:val="ideographTraditional"/>
      <w:lvlText w:val="%5、"/>
      <w:lvlJc w:val="left"/>
      <w:pPr>
        <w:ind w:left="1834" w:hanging="480"/>
      </w:pPr>
    </w:lvl>
    <w:lvl w:ilvl="5" w:tplc="0409001B">
      <w:start w:val="1"/>
      <w:numFmt w:val="lowerRoman"/>
      <w:lvlText w:val="%6."/>
      <w:lvlJc w:val="right"/>
      <w:pPr>
        <w:ind w:left="2314" w:hanging="480"/>
      </w:pPr>
    </w:lvl>
    <w:lvl w:ilvl="6" w:tplc="0409000F">
      <w:start w:val="1"/>
      <w:numFmt w:val="decimal"/>
      <w:lvlText w:val="%7."/>
      <w:lvlJc w:val="left"/>
      <w:pPr>
        <w:ind w:left="2794" w:hanging="480"/>
      </w:pPr>
    </w:lvl>
    <w:lvl w:ilvl="7" w:tplc="04090019">
      <w:start w:val="1"/>
      <w:numFmt w:val="ideographTraditional"/>
      <w:lvlText w:val="%8、"/>
      <w:lvlJc w:val="left"/>
      <w:pPr>
        <w:ind w:left="3274" w:hanging="480"/>
      </w:pPr>
    </w:lvl>
    <w:lvl w:ilvl="8" w:tplc="0409001B">
      <w:start w:val="1"/>
      <w:numFmt w:val="lowerRoman"/>
      <w:lvlText w:val="%9."/>
      <w:lvlJc w:val="right"/>
      <w:pPr>
        <w:ind w:left="3754" w:hanging="480"/>
      </w:pPr>
    </w:lvl>
  </w:abstractNum>
  <w:abstractNum w:abstractNumId="8" w15:restartNumberingAfterBreak="0">
    <w:nsid w:val="13CC3AB1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9" w15:restartNumberingAfterBreak="0">
    <w:nsid w:val="16C7784E"/>
    <w:multiLevelType w:val="hybridMultilevel"/>
    <w:tmpl w:val="444C78CC"/>
    <w:lvl w:ilvl="0" w:tplc="D4729F80">
      <w:start w:val="1"/>
      <w:numFmt w:val="decimal"/>
      <w:lvlText w:val="(%1)"/>
      <w:lvlJc w:val="left"/>
      <w:pPr>
        <w:ind w:left="766" w:hanging="480"/>
      </w:pPr>
      <w:rPr>
        <w:rFonts w:hint="eastAsia"/>
        <w:color w:val="0D0D0D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D4729F80">
      <w:start w:val="1"/>
      <w:numFmt w:val="decimal"/>
      <w:lvlText w:val="(%4)"/>
      <w:lvlJc w:val="left"/>
      <w:pPr>
        <w:ind w:left="2206" w:hanging="480"/>
      </w:pPr>
      <w:rPr>
        <w:rFonts w:hint="eastAsia"/>
        <w:color w:val="0D0D0D"/>
      </w:r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10" w15:restartNumberingAfterBreak="0">
    <w:nsid w:val="16F9048E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1" w15:restartNumberingAfterBreak="0">
    <w:nsid w:val="16FB511C"/>
    <w:multiLevelType w:val="hybridMultilevel"/>
    <w:tmpl w:val="59CEC6B6"/>
    <w:lvl w:ilvl="0" w:tplc="B3F8D164">
      <w:start w:val="1"/>
      <w:numFmt w:val="taiwaneseCountingThousand"/>
      <w:suff w:val="space"/>
      <w:lvlText w:val="(%1)"/>
      <w:lvlJc w:val="left"/>
      <w:pPr>
        <w:ind w:left="960" w:hanging="480"/>
      </w:pPr>
      <w:rPr>
        <w:rFonts w:ascii="Times New Roman" w:eastAsia="標楷體" w:hAnsi="Times New Roman" w:cs="Times New Roman" w:hint="default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12" w15:restartNumberingAfterBreak="0">
    <w:nsid w:val="17611878"/>
    <w:multiLevelType w:val="hybridMultilevel"/>
    <w:tmpl w:val="B4D00DFE"/>
    <w:lvl w:ilvl="0" w:tplc="8814CDBC">
      <w:start w:val="1"/>
      <w:numFmt w:val="decimal"/>
      <w:lvlText w:val="(%1)"/>
      <w:lvlJc w:val="left"/>
      <w:pPr>
        <w:ind w:left="5039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1DC9582F"/>
    <w:multiLevelType w:val="hybridMultilevel"/>
    <w:tmpl w:val="8A30C188"/>
    <w:lvl w:ilvl="0" w:tplc="D4729F80">
      <w:start w:val="1"/>
      <w:numFmt w:val="decimal"/>
      <w:lvlText w:val="(%1)"/>
      <w:lvlJc w:val="left"/>
      <w:pPr>
        <w:ind w:left="480" w:hanging="480"/>
      </w:pPr>
      <w:rPr>
        <w:rFonts w:hint="eastAsia"/>
        <w:color w:val="0D0D0D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29FE2EE8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5" w15:restartNumberingAfterBreak="0">
    <w:nsid w:val="2A1A747D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16" w15:restartNumberingAfterBreak="0">
    <w:nsid w:val="2D170A4C"/>
    <w:multiLevelType w:val="hybridMultilevel"/>
    <w:tmpl w:val="558A0F1C"/>
    <w:lvl w:ilvl="0" w:tplc="D4729F80">
      <w:start w:val="1"/>
      <w:numFmt w:val="decimal"/>
      <w:lvlText w:val="(%1)"/>
      <w:lvlJc w:val="left"/>
      <w:pPr>
        <w:ind w:left="480" w:hanging="480"/>
      </w:pPr>
      <w:rPr>
        <w:rFonts w:hint="eastAsia"/>
        <w:color w:val="0D0D0D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7" w15:restartNumberingAfterBreak="0">
    <w:nsid w:val="2D3A38B0"/>
    <w:multiLevelType w:val="hybridMultilevel"/>
    <w:tmpl w:val="ED58CB70"/>
    <w:lvl w:ilvl="0" w:tplc="0BB8DB92">
      <w:start w:val="1"/>
      <w:numFmt w:val="taiwaneseCountingThousand"/>
      <w:suff w:val="space"/>
      <w:lvlText w:val="(%1)"/>
      <w:lvlJc w:val="left"/>
      <w:pPr>
        <w:ind w:left="794" w:hanging="314"/>
      </w:pPr>
      <w:rPr>
        <w:rFonts w:hint="default"/>
        <w:strike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4026" w:hanging="480"/>
      </w:pPr>
    </w:lvl>
    <w:lvl w:ilvl="2" w:tplc="0409001B" w:tentative="1">
      <w:start w:val="1"/>
      <w:numFmt w:val="lowerRoman"/>
      <w:lvlText w:val="%3."/>
      <w:lvlJc w:val="right"/>
      <w:pPr>
        <w:ind w:left="14506" w:hanging="480"/>
      </w:pPr>
    </w:lvl>
    <w:lvl w:ilvl="3" w:tplc="0409000F" w:tentative="1">
      <w:start w:val="1"/>
      <w:numFmt w:val="decimal"/>
      <w:lvlText w:val="%4."/>
      <w:lvlJc w:val="left"/>
      <w:pPr>
        <w:ind w:left="149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466" w:hanging="480"/>
      </w:pPr>
    </w:lvl>
    <w:lvl w:ilvl="5" w:tplc="0409001B" w:tentative="1">
      <w:start w:val="1"/>
      <w:numFmt w:val="lowerRoman"/>
      <w:lvlText w:val="%6."/>
      <w:lvlJc w:val="right"/>
      <w:pPr>
        <w:ind w:left="15946" w:hanging="480"/>
      </w:pPr>
    </w:lvl>
    <w:lvl w:ilvl="6" w:tplc="0409000F" w:tentative="1">
      <w:start w:val="1"/>
      <w:numFmt w:val="decimal"/>
      <w:lvlText w:val="%7."/>
      <w:lvlJc w:val="left"/>
      <w:pPr>
        <w:ind w:left="164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16906" w:hanging="480"/>
      </w:pPr>
    </w:lvl>
    <w:lvl w:ilvl="8" w:tplc="0409001B" w:tentative="1">
      <w:start w:val="1"/>
      <w:numFmt w:val="lowerRoman"/>
      <w:lvlText w:val="%9."/>
      <w:lvlJc w:val="right"/>
      <w:pPr>
        <w:ind w:left="17386" w:hanging="480"/>
      </w:pPr>
    </w:lvl>
  </w:abstractNum>
  <w:abstractNum w:abstractNumId="18" w15:restartNumberingAfterBreak="0">
    <w:nsid w:val="2DA672C4"/>
    <w:multiLevelType w:val="hybridMultilevel"/>
    <w:tmpl w:val="D360BED6"/>
    <w:lvl w:ilvl="0" w:tplc="ACF829C0">
      <w:start w:val="10"/>
      <w:numFmt w:val="taiwaneseCountingThousand"/>
      <w:suff w:val="space"/>
      <w:lvlText w:val="%1、"/>
      <w:lvlJc w:val="left"/>
      <w:pPr>
        <w:ind w:left="960" w:hanging="480"/>
      </w:pPr>
      <w:rPr>
        <w:rFonts w:hint="eastAsia"/>
        <w:b/>
        <w:color w:val="auto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2DF7082B"/>
    <w:multiLevelType w:val="hybridMultilevel"/>
    <w:tmpl w:val="1D0A7090"/>
    <w:lvl w:ilvl="0" w:tplc="D4729F80">
      <w:start w:val="1"/>
      <w:numFmt w:val="decimal"/>
      <w:lvlText w:val="(%1)"/>
      <w:lvlJc w:val="left"/>
      <w:pPr>
        <w:ind w:left="1080" w:hanging="360"/>
      </w:pPr>
      <w:rPr>
        <w:rFonts w:hint="eastAsia"/>
        <w:color w:val="0D0D0D"/>
      </w:r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20" w15:restartNumberingAfterBreak="0">
    <w:nsid w:val="2EA103AE"/>
    <w:multiLevelType w:val="hybridMultilevel"/>
    <w:tmpl w:val="B5E21448"/>
    <w:lvl w:ilvl="0" w:tplc="6DCE03A2">
      <w:start w:val="1"/>
      <w:numFmt w:val="decimal"/>
      <w:lvlText w:val="%1."/>
      <w:lvlJc w:val="left"/>
      <w:pPr>
        <w:ind w:left="1354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319F5603"/>
    <w:multiLevelType w:val="hybridMultilevel"/>
    <w:tmpl w:val="FE26B5C2"/>
    <w:lvl w:ilvl="0" w:tplc="7B10911C">
      <w:start w:val="1"/>
      <w:numFmt w:val="taiwaneseCountingThousand"/>
      <w:lvlText w:val="%1、"/>
      <w:lvlJc w:val="left"/>
      <w:pPr>
        <w:ind w:left="960" w:hanging="480"/>
      </w:pPr>
      <w:rPr>
        <w:rFonts w:hint="eastAsia"/>
        <w:b/>
        <w:color w:val="auto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36260061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23" w15:restartNumberingAfterBreak="0">
    <w:nsid w:val="37E80D5C"/>
    <w:multiLevelType w:val="hybridMultilevel"/>
    <w:tmpl w:val="79AA1044"/>
    <w:lvl w:ilvl="0" w:tplc="0409000F">
      <w:start w:val="1"/>
      <w:numFmt w:val="decimal"/>
      <w:lvlText w:val="%1."/>
      <w:lvlJc w:val="left"/>
      <w:pPr>
        <w:ind w:left="-86" w:hanging="480"/>
      </w:p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24" w15:restartNumberingAfterBreak="0">
    <w:nsid w:val="3DFB18E3"/>
    <w:multiLevelType w:val="hybridMultilevel"/>
    <w:tmpl w:val="D652C8A4"/>
    <w:lvl w:ilvl="0" w:tplc="E74A9160">
      <w:start w:val="1"/>
      <w:numFmt w:val="taiwaneseCountingThousand"/>
      <w:suff w:val="space"/>
      <w:lvlText w:val="(%1)"/>
      <w:lvlJc w:val="left"/>
      <w:pPr>
        <w:ind w:left="4405" w:hanging="720"/>
      </w:pPr>
      <w:rPr>
        <w:rFonts w:ascii="Times New Roman" w:hAnsi="Times New Roman" w:cs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25" w15:restartNumberingAfterBreak="0">
    <w:nsid w:val="418C4A71"/>
    <w:multiLevelType w:val="hybridMultilevel"/>
    <w:tmpl w:val="339A03C2"/>
    <w:lvl w:ilvl="0" w:tplc="0409000F">
      <w:start w:val="1"/>
      <w:numFmt w:val="decimal"/>
      <w:lvlText w:val="%1."/>
      <w:lvlJc w:val="left"/>
      <w:pPr>
        <w:ind w:left="-86" w:hanging="480"/>
      </w:p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26" w15:restartNumberingAfterBreak="0">
    <w:nsid w:val="4288117A"/>
    <w:multiLevelType w:val="hybridMultilevel"/>
    <w:tmpl w:val="7D6E4102"/>
    <w:lvl w:ilvl="0" w:tplc="56B6FF08">
      <w:start w:val="1"/>
      <w:numFmt w:val="taiwaneseCountingThousand"/>
      <w:lvlText w:val="%1、"/>
      <w:lvlJc w:val="left"/>
      <w:pPr>
        <w:ind w:left="720" w:hanging="720"/>
      </w:pPr>
      <w:rPr>
        <w:rFonts w:ascii="標楷體" w:hAnsi="標楷體" w:cstheme="minorBid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4AE45114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28" w15:restartNumberingAfterBreak="0">
    <w:nsid w:val="4EDF153C"/>
    <w:multiLevelType w:val="hybridMultilevel"/>
    <w:tmpl w:val="5DAAB842"/>
    <w:lvl w:ilvl="0" w:tplc="0409000F">
      <w:start w:val="1"/>
      <w:numFmt w:val="decimal"/>
      <w:lvlText w:val="%1."/>
      <w:lvlJc w:val="left"/>
      <w:pPr>
        <w:ind w:left="1210" w:hanging="360"/>
      </w:pPr>
    </w:lvl>
    <w:lvl w:ilvl="1" w:tplc="04090019">
      <w:start w:val="1"/>
      <w:numFmt w:val="ideographTraditional"/>
      <w:lvlText w:val="%2、"/>
      <w:lvlJc w:val="left"/>
      <w:pPr>
        <w:ind w:left="394" w:hanging="480"/>
      </w:pPr>
    </w:lvl>
    <w:lvl w:ilvl="2" w:tplc="0409001B">
      <w:start w:val="1"/>
      <w:numFmt w:val="lowerRoman"/>
      <w:lvlText w:val="%3."/>
      <w:lvlJc w:val="right"/>
      <w:pPr>
        <w:ind w:left="874" w:hanging="480"/>
      </w:pPr>
    </w:lvl>
    <w:lvl w:ilvl="3" w:tplc="0409000F">
      <w:start w:val="1"/>
      <w:numFmt w:val="decimal"/>
      <w:lvlText w:val="%4."/>
      <w:lvlJc w:val="left"/>
      <w:pPr>
        <w:ind w:left="1354" w:hanging="480"/>
      </w:pPr>
    </w:lvl>
    <w:lvl w:ilvl="4" w:tplc="04090019">
      <w:start w:val="1"/>
      <w:numFmt w:val="ideographTraditional"/>
      <w:lvlText w:val="%5、"/>
      <w:lvlJc w:val="left"/>
      <w:pPr>
        <w:ind w:left="1834" w:hanging="480"/>
      </w:pPr>
    </w:lvl>
    <w:lvl w:ilvl="5" w:tplc="0409001B">
      <w:start w:val="1"/>
      <w:numFmt w:val="lowerRoman"/>
      <w:lvlText w:val="%6."/>
      <w:lvlJc w:val="right"/>
      <w:pPr>
        <w:ind w:left="2314" w:hanging="480"/>
      </w:pPr>
    </w:lvl>
    <w:lvl w:ilvl="6" w:tplc="0409000F">
      <w:start w:val="1"/>
      <w:numFmt w:val="decimal"/>
      <w:lvlText w:val="%7."/>
      <w:lvlJc w:val="left"/>
      <w:pPr>
        <w:ind w:left="2794" w:hanging="480"/>
      </w:pPr>
    </w:lvl>
    <w:lvl w:ilvl="7" w:tplc="04090019">
      <w:start w:val="1"/>
      <w:numFmt w:val="ideographTraditional"/>
      <w:lvlText w:val="%8、"/>
      <w:lvlJc w:val="left"/>
      <w:pPr>
        <w:ind w:left="3274" w:hanging="480"/>
      </w:pPr>
    </w:lvl>
    <w:lvl w:ilvl="8" w:tplc="0409001B">
      <w:start w:val="1"/>
      <w:numFmt w:val="lowerRoman"/>
      <w:lvlText w:val="%9."/>
      <w:lvlJc w:val="right"/>
      <w:pPr>
        <w:ind w:left="3754" w:hanging="480"/>
      </w:pPr>
    </w:lvl>
  </w:abstractNum>
  <w:abstractNum w:abstractNumId="29" w15:restartNumberingAfterBreak="0">
    <w:nsid w:val="4FF52ABE"/>
    <w:multiLevelType w:val="hybridMultilevel"/>
    <w:tmpl w:val="E458BD02"/>
    <w:lvl w:ilvl="0" w:tplc="806ADB4E">
      <w:start w:val="1"/>
      <w:numFmt w:val="taiwaneseCountingThousand"/>
      <w:suff w:val="space"/>
      <w:lvlText w:val="(%1)"/>
      <w:lvlJc w:val="left"/>
      <w:pPr>
        <w:ind w:left="1448" w:hanging="314"/>
      </w:pPr>
      <w:rPr>
        <w:rFonts w:ascii="Times New Roman" w:eastAsia="標楷體" w:hAnsi="Times New Roman" w:cs="Times New Roman" w:hint="default"/>
      </w:rPr>
    </w:lvl>
    <w:lvl w:ilvl="1" w:tplc="9B906974">
      <w:start w:val="1"/>
      <w:numFmt w:val="decimal"/>
      <w:lvlText w:val="%2."/>
      <w:lvlJc w:val="left"/>
      <w:pPr>
        <w:ind w:left="9227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9827" w:hanging="480"/>
      </w:pPr>
    </w:lvl>
    <w:lvl w:ilvl="3" w:tplc="0409000F" w:tentative="1">
      <w:start w:val="1"/>
      <w:numFmt w:val="decimal"/>
      <w:lvlText w:val="%4."/>
      <w:lvlJc w:val="left"/>
      <w:pPr>
        <w:ind w:left="1030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0787" w:hanging="480"/>
      </w:pPr>
    </w:lvl>
    <w:lvl w:ilvl="5" w:tplc="0409001B" w:tentative="1">
      <w:start w:val="1"/>
      <w:numFmt w:val="lowerRoman"/>
      <w:lvlText w:val="%6."/>
      <w:lvlJc w:val="right"/>
      <w:pPr>
        <w:ind w:left="11267" w:hanging="480"/>
      </w:pPr>
    </w:lvl>
    <w:lvl w:ilvl="6" w:tplc="0409000F" w:tentative="1">
      <w:start w:val="1"/>
      <w:numFmt w:val="decimal"/>
      <w:lvlText w:val="%7."/>
      <w:lvlJc w:val="left"/>
      <w:pPr>
        <w:ind w:left="1174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12227" w:hanging="480"/>
      </w:pPr>
    </w:lvl>
    <w:lvl w:ilvl="8" w:tplc="0409001B" w:tentative="1">
      <w:start w:val="1"/>
      <w:numFmt w:val="lowerRoman"/>
      <w:lvlText w:val="%9."/>
      <w:lvlJc w:val="right"/>
      <w:pPr>
        <w:ind w:left="12707" w:hanging="480"/>
      </w:pPr>
    </w:lvl>
  </w:abstractNum>
  <w:abstractNum w:abstractNumId="30" w15:restartNumberingAfterBreak="0">
    <w:nsid w:val="586C7A28"/>
    <w:multiLevelType w:val="hybridMultilevel"/>
    <w:tmpl w:val="570609CA"/>
    <w:lvl w:ilvl="0" w:tplc="7DEA033A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60B002F9"/>
    <w:multiLevelType w:val="hybridMultilevel"/>
    <w:tmpl w:val="77D23B3C"/>
    <w:lvl w:ilvl="0" w:tplc="0409000F">
      <w:start w:val="1"/>
      <w:numFmt w:val="decimal"/>
      <w:lvlText w:val="%1."/>
      <w:lvlJc w:val="left"/>
      <w:pPr>
        <w:ind w:left="787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267" w:hanging="480"/>
      </w:pPr>
    </w:lvl>
    <w:lvl w:ilvl="2" w:tplc="0409001B" w:tentative="1">
      <w:start w:val="1"/>
      <w:numFmt w:val="lowerRoman"/>
      <w:lvlText w:val="%3."/>
      <w:lvlJc w:val="right"/>
      <w:pPr>
        <w:ind w:left="1747" w:hanging="480"/>
      </w:pPr>
    </w:lvl>
    <w:lvl w:ilvl="3" w:tplc="0409000F">
      <w:start w:val="1"/>
      <w:numFmt w:val="decimal"/>
      <w:lvlText w:val="%4."/>
      <w:lvlJc w:val="left"/>
      <w:pPr>
        <w:ind w:left="222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07" w:hanging="480"/>
      </w:pPr>
    </w:lvl>
    <w:lvl w:ilvl="5" w:tplc="0409001B" w:tentative="1">
      <w:start w:val="1"/>
      <w:numFmt w:val="lowerRoman"/>
      <w:lvlText w:val="%6."/>
      <w:lvlJc w:val="right"/>
      <w:pPr>
        <w:ind w:left="3187" w:hanging="480"/>
      </w:pPr>
    </w:lvl>
    <w:lvl w:ilvl="6" w:tplc="0409000F" w:tentative="1">
      <w:start w:val="1"/>
      <w:numFmt w:val="decimal"/>
      <w:lvlText w:val="%7."/>
      <w:lvlJc w:val="left"/>
      <w:pPr>
        <w:ind w:left="366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47" w:hanging="480"/>
      </w:pPr>
    </w:lvl>
    <w:lvl w:ilvl="8" w:tplc="0409001B" w:tentative="1">
      <w:start w:val="1"/>
      <w:numFmt w:val="lowerRoman"/>
      <w:lvlText w:val="%9."/>
      <w:lvlJc w:val="right"/>
      <w:pPr>
        <w:ind w:left="4627" w:hanging="480"/>
      </w:pPr>
    </w:lvl>
  </w:abstractNum>
  <w:abstractNum w:abstractNumId="32" w15:restartNumberingAfterBreak="0">
    <w:nsid w:val="61373B56"/>
    <w:multiLevelType w:val="hybridMultilevel"/>
    <w:tmpl w:val="6414EA6A"/>
    <w:lvl w:ilvl="0" w:tplc="0409000D">
      <w:start w:val="1"/>
      <w:numFmt w:val="bullet"/>
      <w:lvlText w:val=""/>
      <w:lvlJc w:val="left"/>
      <w:pPr>
        <w:ind w:left="797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77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57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37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17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97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77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57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37" w:hanging="480"/>
      </w:pPr>
      <w:rPr>
        <w:rFonts w:ascii="Wingdings" w:hAnsi="Wingdings" w:hint="default"/>
      </w:rPr>
    </w:lvl>
  </w:abstractNum>
  <w:abstractNum w:abstractNumId="33" w15:restartNumberingAfterBreak="0">
    <w:nsid w:val="62B20A64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34" w15:restartNumberingAfterBreak="0">
    <w:nsid w:val="62D00494"/>
    <w:multiLevelType w:val="hybridMultilevel"/>
    <w:tmpl w:val="BA386984"/>
    <w:lvl w:ilvl="0" w:tplc="0409000F">
      <w:start w:val="1"/>
      <w:numFmt w:val="decimal"/>
      <w:lvlText w:val="%1."/>
      <w:lvlJc w:val="left"/>
      <w:pPr>
        <w:ind w:left="4885" w:hanging="480"/>
      </w:pPr>
    </w:lvl>
    <w:lvl w:ilvl="1" w:tplc="04090019" w:tentative="1">
      <w:start w:val="1"/>
      <w:numFmt w:val="ideographTraditional"/>
      <w:lvlText w:val="%2、"/>
      <w:lvlJc w:val="left"/>
      <w:pPr>
        <w:ind w:left="5365" w:hanging="480"/>
      </w:pPr>
    </w:lvl>
    <w:lvl w:ilvl="2" w:tplc="0409001B" w:tentative="1">
      <w:start w:val="1"/>
      <w:numFmt w:val="lowerRoman"/>
      <w:lvlText w:val="%3."/>
      <w:lvlJc w:val="right"/>
      <w:pPr>
        <w:ind w:left="5845" w:hanging="480"/>
      </w:pPr>
    </w:lvl>
    <w:lvl w:ilvl="3" w:tplc="0409000F" w:tentative="1">
      <w:start w:val="1"/>
      <w:numFmt w:val="decimal"/>
      <w:lvlText w:val="%4."/>
      <w:lvlJc w:val="left"/>
      <w:pPr>
        <w:ind w:left="63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6805" w:hanging="480"/>
      </w:pPr>
    </w:lvl>
    <w:lvl w:ilvl="5" w:tplc="0409001B" w:tentative="1">
      <w:start w:val="1"/>
      <w:numFmt w:val="lowerRoman"/>
      <w:lvlText w:val="%6."/>
      <w:lvlJc w:val="right"/>
      <w:pPr>
        <w:ind w:left="7285" w:hanging="480"/>
      </w:pPr>
    </w:lvl>
    <w:lvl w:ilvl="6" w:tplc="0409000F" w:tentative="1">
      <w:start w:val="1"/>
      <w:numFmt w:val="decimal"/>
      <w:lvlText w:val="%7."/>
      <w:lvlJc w:val="left"/>
      <w:pPr>
        <w:ind w:left="77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8245" w:hanging="480"/>
      </w:pPr>
    </w:lvl>
    <w:lvl w:ilvl="8" w:tplc="0409001B" w:tentative="1">
      <w:start w:val="1"/>
      <w:numFmt w:val="lowerRoman"/>
      <w:lvlText w:val="%9."/>
      <w:lvlJc w:val="right"/>
      <w:pPr>
        <w:ind w:left="8725" w:hanging="480"/>
      </w:pPr>
    </w:lvl>
  </w:abstractNum>
  <w:abstractNum w:abstractNumId="35" w15:restartNumberingAfterBreak="0">
    <w:nsid w:val="656651F6"/>
    <w:multiLevelType w:val="hybridMultilevel"/>
    <w:tmpl w:val="D9760D16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36" w15:restartNumberingAfterBreak="0">
    <w:nsid w:val="693F7379"/>
    <w:multiLevelType w:val="hybridMultilevel"/>
    <w:tmpl w:val="50AE90E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7" w15:restartNumberingAfterBreak="0">
    <w:nsid w:val="69C209A1"/>
    <w:multiLevelType w:val="hybridMultilevel"/>
    <w:tmpl w:val="FDAC3754"/>
    <w:lvl w:ilvl="0" w:tplc="002E26B2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38" w15:restartNumberingAfterBreak="0">
    <w:nsid w:val="6F931AD5"/>
    <w:multiLevelType w:val="hybridMultilevel"/>
    <w:tmpl w:val="1C6CAAF4"/>
    <w:lvl w:ilvl="0" w:tplc="D4729F80">
      <w:start w:val="1"/>
      <w:numFmt w:val="decimal"/>
      <w:lvlText w:val="(%1)"/>
      <w:lvlJc w:val="left"/>
      <w:pPr>
        <w:ind w:left="-86" w:hanging="480"/>
      </w:pPr>
      <w:rPr>
        <w:rFonts w:hint="eastAsia"/>
        <w:color w:val="0D0D0D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39" w15:restartNumberingAfterBreak="0">
    <w:nsid w:val="6FE2723C"/>
    <w:multiLevelType w:val="hybridMultilevel"/>
    <w:tmpl w:val="72162B18"/>
    <w:lvl w:ilvl="0" w:tplc="7DEA033A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6FEB4EEA"/>
    <w:multiLevelType w:val="hybridMultilevel"/>
    <w:tmpl w:val="5DAAB842"/>
    <w:lvl w:ilvl="0" w:tplc="0409000F">
      <w:start w:val="1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 w:tentative="1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41" w15:restartNumberingAfterBreak="0">
    <w:nsid w:val="723A5995"/>
    <w:multiLevelType w:val="hybridMultilevel"/>
    <w:tmpl w:val="FB2A1F36"/>
    <w:lvl w:ilvl="0" w:tplc="17A0BCB4">
      <w:start w:val="1"/>
      <w:numFmt w:val="upperLetter"/>
      <w:lvlText w:val="%1."/>
      <w:lvlJc w:val="left"/>
      <w:pPr>
        <w:ind w:left="-86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 w:tentative="1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42" w15:restartNumberingAfterBreak="0">
    <w:nsid w:val="73624E61"/>
    <w:multiLevelType w:val="hybridMultilevel"/>
    <w:tmpl w:val="B760708A"/>
    <w:lvl w:ilvl="0" w:tplc="0409000F">
      <w:start w:val="1"/>
      <w:numFmt w:val="decimal"/>
      <w:lvlText w:val="%1."/>
      <w:lvlJc w:val="left"/>
      <w:pPr>
        <w:ind w:left="1354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75D37185"/>
    <w:multiLevelType w:val="hybridMultilevel"/>
    <w:tmpl w:val="8848CAF6"/>
    <w:lvl w:ilvl="0" w:tplc="0409000F">
      <w:start w:val="1"/>
      <w:numFmt w:val="decimal"/>
      <w:lvlText w:val="%1."/>
      <w:lvlJc w:val="left"/>
      <w:pPr>
        <w:ind w:left="133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810" w:hanging="480"/>
      </w:pPr>
    </w:lvl>
    <w:lvl w:ilvl="2" w:tplc="0409001B" w:tentative="1">
      <w:start w:val="1"/>
      <w:numFmt w:val="lowerRoman"/>
      <w:lvlText w:val="%3."/>
      <w:lvlJc w:val="right"/>
      <w:pPr>
        <w:ind w:left="2290" w:hanging="480"/>
      </w:pPr>
    </w:lvl>
    <w:lvl w:ilvl="3" w:tplc="0409000F" w:tentative="1">
      <w:start w:val="1"/>
      <w:numFmt w:val="decimal"/>
      <w:lvlText w:val="%4."/>
      <w:lvlJc w:val="left"/>
      <w:pPr>
        <w:ind w:left="277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0" w:hanging="480"/>
      </w:pPr>
    </w:lvl>
    <w:lvl w:ilvl="5" w:tplc="0409001B" w:tentative="1">
      <w:start w:val="1"/>
      <w:numFmt w:val="lowerRoman"/>
      <w:lvlText w:val="%6."/>
      <w:lvlJc w:val="right"/>
      <w:pPr>
        <w:ind w:left="3730" w:hanging="480"/>
      </w:pPr>
    </w:lvl>
    <w:lvl w:ilvl="6" w:tplc="0409000F" w:tentative="1">
      <w:start w:val="1"/>
      <w:numFmt w:val="decimal"/>
      <w:lvlText w:val="%7."/>
      <w:lvlJc w:val="left"/>
      <w:pPr>
        <w:ind w:left="421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0" w:hanging="480"/>
      </w:pPr>
    </w:lvl>
    <w:lvl w:ilvl="8" w:tplc="0409001B" w:tentative="1">
      <w:start w:val="1"/>
      <w:numFmt w:val="lowerRoman"/>
      <w:lvlText w:val="%9."/>
      <w:lvlJc w:val="right"/>
      <w:pPr>
        <w:ind w:left="5170" w:hanging="480"/>
      </w:pPr>
    </w:lvl>
  </w:abstractNum>
  <w:abstractNum w:abstractNumId="44" w15:restartNumberingAfterBreak="0">
    <w:nsid w:val="771B1ED9"/>
    <w:multiLevelType w:val="hybridMultilevel"/>
    <w:tmpl w:val="5FDA819A"/>
    <w:lvl w:ilvl="0" w:tplc="17A0BCB4">
      <w:start w:val="1"/>
      <w:numFmt w:val="upperLetter"/>
      <w:lvlText w:val="%1."/>
      <w:lvlJc w:val="left"/>
      <w:pPr>
        <w:ind w:left="-86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394" w:hanging="480"/>
      </w:pPr>
    </w:lvl>
    <w:lvl w:ilvl="2" w:tplc="0409001B" w:tentative="1">
      <w:start w:val="1"/>
      <w:numFmt w:val="lowerRoman"/>
      <w:lvlText w:val="%3."/>
      <w:lvlJc w:val="right"/>
      <w:pPr>
        <w:ind w:left="874" w:hanging="480"/>
      </w:pPr>
    </w:lvl>
    <w:lvl w:ilvl="3" w:tplc="0409000F" w:tentative="1">
      <w:start w:val="1"/>
      <w:numFmt w:val="decimal"/>
      <w:lvlText w:val="%4."/>
      <w:lvlJc w:val="left"/>
      <w:pPr>
        <w:ind w:left="135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834" w:hanging="480"/>
      </w:pPr>
    </w:lvl>
    <w:lvl w:ilvl="5" w:tplc="0409001B" w:tentative="1">
      <w:start w:val="1"/>
      <w:numFmt w:val="lowerRoman"/>
      <w:lvlText w:val="%6."/>
      <w:lvlJc w:val="right"/>
      <w:pPr>
        <w:ind w:left="2314" w:hanging="480"/>
      </w:pPr>
    </w:lvl>
    <w:lvl w:ilvl="6" w:tplc="0409000F" w:tentative="1">
      <w:start w:val="1"/>
      <w:numFmt w:val="decimal"/>
      <w:lvlText w:val="%7."/>
      <w:lvlJc w:val="left"/>
      <w:pPr>
        <w:ind w:left="279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274" w:hanging="480"/>
      </w:pPr>
    </w:lvl>
    <w:lvl w:ilvl="8" w:tplc="0409001B" w:tentative="1">
      <w:start w:val="1"/>
      <w:numFmt w:val="lowerRoman"/>
      <w:lvlText w:val="%9."/>
      <w:lvlJc w:val="right"/>
      <w:pPr>
        <w:ind w:left="3754" w:hanging="480"/>
      </w:pPr>
    </w:lvl>
  </w:abstractNum>
  <w:abstractNum w:abstractNumId="45" w15:restartNumberingAfterBreak="0">
    <w:nsid w:val="796D0C2A"/>
    <w:multiLevelType w:val="hybridMultilevel"/>
    <w:tmpl w:val="B2A62AF8"/>
    <w:lvl w:ilvl="0" w:tplc="D4729F80">
      <w:start w:val="1"/>
      <w:numFmt w:val="decimal"/>
      <w:lvlText w:val="(%1)"/>
      <w:lvlJc w:val="left"/>
      <w:pPr>
        <w:ind w:left="336" w:hanging="480"/>
      </w:pPr>
      <w:rPr>
        <w:rFonts w:hint="eastAsia"/>
        <w:color w:val="0D0D0D"/>
      </w:rPr>
    </w:lvl>
    <w:lvl w:ilvl="1" w:tplc="04090019" w:tentative="1">
      <w:start w:val="1"/>
      <w:numFmt w:val="ideographTraditional"/>
      <w:lvlText w:val="%2、"/>
      <w:lvlJc w:val="left"/>
      <w:pPr>
        <w:ind w:left="816" w:hanging="480"/>
      </w:pPr>
    </w:lvl>
    <w:lvl w:ilvl="2" w:tplc="0409001B" w:tentative="1">
      <w:start w:val="1"/>
      <w:numFmt w:val="lowerRoman"/>
      <w:lvlText w:val="%3."/>
      <w:lvlJc w:val="right"/>
      <w:pPr>
        <w:ind w:left="1296" w:hanging="480"/>
      </w:pPr>
    </w:lvl>
    <w:lvl w:ilvl="3" w:tplc="0409000F" w:tentative="1">
      <w:start w:val="1"/>
      <w:numFmt w:val="decimal"/>
      <w:lvlText w:val="%4."/>
      <w:lvlJc w:val="left"/>
      <w:pPr>
        <w:ind w:left="177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56" w:hanging="480"/>
      </w:pPr>
    </w:lvl>
    <w:lvl w:ilvl="5" w:tplc="0409001B" w:tentative="1">
      <w:start w:val="1"/>
      <w:numFmt w:val="lowerRoman"/>
      <w:lvlText w:val="%6."/>
      <w:lvlJc w:val="right"/>
      <w:pPr>
        <w:ind w:left="2736" w:hanging="480"/>
      </w:pPr>
    </w:lvl>
    <w:lvl w:ilvl="6" w:tplc="0409000F" w:tentative="1">
      <w:start w:val="1"/>
      <w:numFmt w:val="decimal"/>
      <w:lvlText w:val="%7."/>
      <w:lvlJc w:val="left"/>
      <w:pPr>
        <w:ind w:left="321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96" w:hanging="480"/>
      </w:pPr>
    </w:lvl>
    <w:lvl w:ilvl="8" w:tplc="0409001B" w:tentative="1">
      <w:start w:val="1"/>
      <w:numFmt w:val="lowerRoman"/>
      <w:lvlText w:val="%9."/>
      <w:lvlJc w:val="right"/>
      <w:pPr>
        <w:ind w:left="4176" w:hanging="480"/>
      </w:pPr>
    </w:lvl>
  </w:abstractNum>
  <w:abstractNum w:abstractNumId="46" w15:restartNumberingAfterBreak="0">
    <w:nsid w:val="7A55654D"/>
    <w:multiLevelType w:val="hybridMultilevel"/>
    <w:tmpl w:val="7B40E5DE"/>
    <w:lvl w:ilvl="0" w:tplc="04090015">
      <w:start w:val="1"/>
      <w:numFmt w:val="taiwaneseCountingThousand"/>
      <w:lvlText w:val="%1、"/>
      <w:lvlJc w:val="left"/>
      <w:pPr>
        <w:ind w:left="480" w:hanging="480"/>
      </w:pPr>
    </w:lvl>
    <w:lvl w:ilvl="1" w:tplc="7DEA033A">
      <w:start w:val="1"/>
      <w:numFmt w:val="taiwaneseCountingThousand"/>
      <w:lvlText w:val="(%2)"/>
      <w:lvlJc w:val="left"/>
      <w:pPr>
        <w:ind w:left="96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7" w15:restartNumberingAfterBreak="0">
    <w:nsid w:val="7EF37CD9"/>
    <w:multiLevelType w:val="hybridMultilevel"/>
    <w:tmpl w:val="B6B86168"/>
    <w:lvl w:ilvl="0" w:tplc="6C2406A6">
      <w:start w:val="1"/>
      <w:numFmt w:val="taiwaneseCountingThousand"/>
      <w:pStyle w:val="a0"/>
      <w:lvlText w:val="第%1案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390571691">
    <w:abstractNumId w:val="0"/>
  </w:num>
  <w:num w:numId="2" w16cid:durableId="969093171">
    <w:abstractNumId w:val="47"/>
  </w:num>
  <w:num w:numId="3" w16cid:durableId="768083227">
    <w:abstractNumId w:val="26"/>
  </w:num>
  <w:num w:numId="4" w16cid:durableId="1519848483">
    <w:abstractNumId w:val="46"/>
  </w:num>
  <w:num w:numId="5" w16cid:durableId="544831283">
    <w:abstractNumId w:val="39"/>
  </w:num>
  <w:num w:numId="6" w16cid:durableId="645013669">
    <w:abstractNumId w:val="30"/>
  </w:num>
  <w:num w:numId="7" w16cid:durableId="2099669776">
    <w:abstractNumId w:val="29"/>
  </w:num>
  <w:num w:numId="8" w16cid:durableId="1014770160">
    <w:abstractNumId w:val="17"/>
  </w:num>
  <w:num w:numId="9" w16cid:durableId="78258580">
    <w:abstractNumId w:val="21"/>
  </w:num>
  <w:num w:numId="10" w16cid:durableId="1489009456">
    <w:abstractNumId w:val="24"/>
  </w:num>
  <w:num w:numId="11" w16cid:durableId="1742092202">
    <w:abstractNumId w:val="18"/>
  </w:num>
  <w:num w:numId="12" w16cid:durableId="1270889255">
    <w:abstractNumId w:val="11"/>
  </w:num>
  <w:num w:numId="13" w16cid:durableId="1995599540">
    <w:abstractNumId w:val="14"/>
  </w:num>
  <w:num w:numId="14" w16cid:durableId="1158182088">
    <w:abstractNumId w:val="15"/>
  </w:num>
  <w:num w:numId="15" w16cid:durableId="564997244">
    <w:abstractNumId w:val="27"/>
  </w:num>
  <w:num w:numId="16" w16cid:durableId="577906233">
    <w:abstractNumId w:val="8"/>
  </w:num>
  <w:num w:numId="17" w16cid:durableId="789399051">
    <w:abstractNumId w:val="2"/>
  </w:num>
  <w:num w:numId="18" w16cid:durableId="96558519">
    <w:abstractNumId w:val="10"/>
  </w:num>
  <w:num w:numId="19" w16cid:durableId="137383815">
    <w:abstractNumId w:val="23"/>
  </w:num>
  <w:num w:numId="20" w16cid:durableId="510145688">
    <w:abstractNumId w:val="25"/>
  </w:num>
  <w:num w:numId="21" w16cid:durableId="609623894">
    <w:abstractNumId w:val="38"/>
  </w:num>
  <w:num w:numId="22" w16cid:durableId="1400322489">
    <w:abstractNumId w:val="33"/>
  </w:num>
  <w:num w:numId="23" w16cid:durableId="931008292">
    <w:abstractNumId w:val="20"/>
  </w:num>
  <w:num w:numId="24" w16cid:durableId="1056470607">
    <w:abstractNumId w:val="22"/>
  </w:num>
  <w:num w:numId="25" w16cid:durableId="1668367617">
    <w:abstractNumId w:val="42"/>
  </w:num>
  <w:num w:numId="26" w16cid:durableId="659887790">
    <w:abstractNumId w:val="5"/>
  </w:num>
  <w:num w:numId="27" w16cid:durableId="372389830">
    <w:abstractNumId w:val="40"/>
  </w:num>
  <w:num w:numId="28" w16cid:durableId="1240865118">
    <w:abstractNumId w:val="35"/>
  </w:num>
  <w:num w:numId="29" w16cid:durableId="1839079103">
    <w:abstractNumId w:val="6"/>
  </w:num>
  <w:num w:numId="30" w16cid:durableId="128598119">
    <w:abstractNumId w:val="34"/>
  </w:num>
  <w:num w:numId="31" w16cid:durableId="165841166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192962669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093823909">
    <w:abstractNumId w:val="28"/>
  </w:num>
  <w:num w:numId="34" w16cid:durableId="510265204">
    <w:abstractNumId w:val="7"/>
  </w:num>
  <w:num w:numId="35" w16cid:durableId="176234207">
    <w:abstractNumId w:val="1"/>
  </w:num>
  <w:num w:numId="36" w16cid:durableId="222568764">
    <w:abstractNumId w:val="37"/>
  </w:num>
  <w:num w:numId="37" w16cid:durableId="846822849">
    <w:abstractNumId w:val="13"/>
  </w:num>
  <w:num w:numId="38" w16cid:durableId="777331905">
    <w:abstractNumId w:val="32"/>
  </w:num>
  <w:num w:numId="39" w16cid:durableId="1058163620">
    <w:abstractNumId w:val="41"/>
  </w:num>
  <w:num w:numId="40" w16cid:durableId="121504144">
    <w:abstractNumId w:val="44"/>
  </w:num>
  <w:num w:numId="41" w16cid:durableId="607852335">
    <w:abstractNumId w:val="9"/>
  </w:num>
  <w:num w:numId="42" w16cid:durableId="601375330">
    <w:abstractNumId w:val="45"/>
  </w:num>
  <w:num w:numId="43" w16cid:durableId="1859811252">
    <w:abstractNumId w:val="19"/>
  </w:num>
  <w:num w:numId="44" w16cid:durableId="2103530038">
    <w:abstractNumId w:val="16"/>
  </w:num>
  <w:num w:numId="45" w16cid:durableId="1428888731">
    <w:abstractNumId w:val="43"/>
  </w:num>
  <w:num w:numId="46" w16cid:durableId="2142842726">
    <w:abstractNumId w:val="12"/>
  </w:num>
  <w:num w:numId="47" w16cid:durableId="2037267563">
    <w:abstractNumId w:val="3"/>
  </w:num>
  <w:num w:numId="48" w16cid:durableId="86002742">
    <w:abstractNumId w:val="36"/>
  </w:num>
  <w:num w:numId="49" w16cid:durableId="1743257813">
    <w:abstractNumId w:val="4"/>
  </w:num>
  <w:num w:numId="50" w16cid:durableId="1221601735">
    <w:abstractNumId w:val="31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00C"/>
    <w:rsid w:val="00000347"/>
    <w:rsid w:val="00000D89"/>
    <w:rsid w:val="000019FF"/>
    <w:rsid w:val="000037EC"/>
    <w:rsid w:val="0000485D"/>
    <w:rsid w:val="00004F50"/>
    <w:rsid w:val="00010A3D"/>
    <w:rsid w:val="00012575"/>
    <w:rsid w:val="000139D2"/>
    <w:rsid w:val="00013E03"/>
    <w:rsid w:val="00013F7C"/>
    <w:rsid w:val="00021B9E"/>
    <w:rsid w:val="000227EA"/>
    <w:rsid w:val="00023CB0"/>
    <w:rsid w:val="00030842"/>
    <w:rsid w:val="00030F06"/>
    <w:rsid w:val="000318E7"/>
    <w:rsid w:val="000350E6"/>
    <w:rsid w:val="00035195"/>
    <w:rsid w:val="00041EBA"/>
    <w:rsid w:val="00042528"/>
    <w:rsid w:val="0004390B"/>
    <w:rsid w:val="00044F9D"/>
    <w:rsid w:val="00045E78"/>
    <w:rsid w:val="000476ED"/>
    <w:rsid w:val="00050273"/>
    <w:rsid w:val="00050721"/>
    <w:rsid w:val="00051CA2"/>
    <w:rsid w:val="000559AA"/>
    <w:rsid w:val="00057C68"/>
    <w:rsid w:val="00057DF0"/>
    <w:rsid w:val="00060780"/>
    <w:rsid w:val="0006175E"/>
    <w:rsid w:val="000624BB"/>
    <w:rsid w:val="00063A01"/>
    <w:rsid w:val="0006448A"/>
    <w:rsid w:val="00065475"/>
    <w:rsid w:val="00077B8B"/>
    <w:rsid w:val="0008146E"/>
    <w:rsid w:val="0008325A"/>
    <w:rsid w:val="0008455C"/>
    <w:rsid w:val="0008775C"/>
    <w:rsid w:val="00091104"/>
    <w:rsid w:val="0009110D"/>
    <w:rsid w:val="000911E8"/>
    <w:rsid w:val="000A0107"/>
    <w:rsid w:val="000A2263"/>
    <w:rsid w:val="000A3207"/>
    <w:rsid w:val="000A331A"/>
    <w:rsid w:val="000A3A4E"/>
    <w:rsid w:val="000A4B22"/>
    <w:rsid w:val="000A561F"/>
    <w:rsid w:val="000B1E77"/>
    <w:rsid w:val="000B2164"/>
    <w:rsid w:val="000B291F"/>
    <w:rsid w:val="000B4213"/>
    <w:rsid w:val="000B574F"/>
    <w:rsid w:val="000B7711"/>
    <w:rsid w:val="000C3B7B"/>
    <w:rsid w:val="000C4AD3"/>
    <w:rsid w:val="000C5A57"/>
    <w:rsid w:val="000D05E6"/>
    <w:rsid w:val="000D147E"/>
    <w:rsid w:val="000D3793"/>
    <w:rsid w:val="000D3C9B"/>
    <w:rsid w:val="000D57D3"/>
    <w:rsid w:val="000D58E6"/>
    <w:rsid w:val="000D620D"/>
    <w:rsid w:val="000E1BD7"/>
    <w:rsid w:val="000E217C"/>
    <w:rsid w:val="000E2469"/>
    <w:rsid w:val="000E41AE"/>
    <w:rsid w:val="000F022E"/>
    <w:rsid w:val="000F0ECA"/>
    <w:rsid w:val="000F147C"/>
    <w:rsid w:val="000F32B1"/>
    <w:rsid w:val="000F32EC"/>
    <w:rsid w:val="000F35E4"/>
    <w:rsid w:val="000F7C58"/>
    <w:rsid w:val="00100071"/>
    <w:rsid w:val="0010454D"/>
    <w:rsid w:val="001077C0"/>
    <w:rsid w:val="00112263"/>
    <w:rsid w:val="00112964"/>
    <w:rsid w:val="00112BEF"/>
    <w:rsid w:val="00112F88"/>
    <w:rsid w:val="00114572"/>
    <w:rsid w:val="0011557F"/>
    <w:rsid w:val="00116A75"/>
    <w:rsid w:val="0012084D"/>
    <w:rsid w:val="00121D9B"/>
    <w:rsid w:val="001228C6"/>
    <w:rsid w:val="00123A6A"/>
    <w:rsid w:val="001249E3"/>
    <w:rsid w:val="001254C1"/>
    <w:rsid w:val="001263BA"/>
    <w:rsid w:val="001269CD"/>
    <w:rsid w:val="00126B72"/>
    <w:rsid w:val="00131332"/>
    <w:rsid w:val="00131623"/>
    <w:rsid w:val="00131CEE"/>
    <w:rsid w:val="00132452"/>
    <w:rsid w:val="00132C0B"/>
    <w:rsid w:val="0013717F"/>
    <w:rsid w:val="001375A6"/>
    <w:rsid w:val="001376DE"/>
    <w:rsid w:val="00140792"/>
    <w:rsid w:val="00141528"/>
    <w:rsid w:val="00142329"/>
    <w:rsid w:val="00142868"/>
    <w:rsid w:val="00143640"/>
    <w:rsid w:val="001506FA"/>
    <w:rsid w:val="001526EC"/>
    <w:rsid w:val="0015381B"/>
    <w:rsid w:val="0015535F"/>
    <w:rsid w:val="00156FC0"/>
    <w:rsid w:val="00160AAB"/>
    <w:rsid w:val="00161121"/>
    <w:rsid w:val="00162830"/>
    <w:rsid w:val="00164DD0"/>
    <w:rsid w:val="0016630A"/>
    <w:rsid w:val="00166FFC"/>
    <w:rsid w:val="00167CDE"/>
    <w:rsid w:val="0017124D"/>
    <w:rsid w:val="001715C2"/>
    <w:rsid w:val="00172AF3"/>
    <w:rsid w:val="00173709"/>
    <w:rsid w:val="00175B56"/>
    <w:rsid w:val="00176E96"/>
    <w:rsid w:val="00177E3C"/>
    <w:rsid w:val="001809CB"/>
    <w:rsid w:val="00182112"/>
    <w:rsid w:val="00182A66"/>
    <w:rsid w:val="001849D0"/>
    <w:rsid w:val="00185D64"/>
    <w:rsid w:val="001873C4"/>
    <w:rsid w:val="00187B23"/>
    <w:rsid w:val="00193EA0"/>
    <w:rsid w:val="00195474"/>
    <w:rsid w:val="001954EB"/>
    <w:rsid w:val="001954F2"/>
    <w:rsid w:val="0019752C"/>
    <w:rsid w:val="001A1951"/>
    <w:rsid w:val="001A1E83"/>
    <w:rsid w:val="001A33ED"/>
    <w:rsid w:val="001A39CE"/>
    <w:rsid w:val="001A3C57"/>
    <w:rsid w:val="001A3E49"/>
    <w:rsid w:val="001A56DA"/>
    <w:rsid w:val="001B0079"/>
    <w:rsid w:val="001B043C"/>
    <w:rsid w:val="001B13BE"/>
    <w:rsid w:val="001B2CDD"/>
    <w:rsid w:val="001B44DB"/>
    <w:rsid w:val="001B6015"/>
    <w:rsid w:val="001C1725"/>
    <w:rsid w:val="001C45FF"/>
    <w:rsid w:val="001C5464"/>
    <w:rsid w:val="001C547F"/>
    <w:rsid w:val="001D03C5"/>
    <w:rsid w:val="001D1AFC"/>
    <w:rsid w:val="001D6EEF"/>
    <w:rsid w:val="001D7AEF"/>
    <w:rsid w:val="001E0179"/>
    <w:rsid w:val="001E1A6C"/>
    <w:rsid w:val="001E23FF"/>
    <w:rsid w:val="001E2A21"/>
    <w:rsid w:val="001E568E"/>
    <w:rsid w:val="001E7853"/>
    <w:rsid w:val="001F1126"/>
    <w:rsid w:val="001F598A"/>
    <w:rsid w:val="001F63A9"/>
    <w:rsid w:val="001F7606"/>
    <w:rsid w:val="00201431"/>
    <w:rsid w:val="00201BDF"/>
    <w:rsid w:val="00202DED"/>
    <w:rsid w:val="00206825"/>
    <w:rsid w:val="002078C7"/>
    <w:rsid w:val="00215ED9"/>
    <w:rsid w:val="00216D0B"/>
    <w:rsid w:val="00216F09"/>
    <w:rsid w:val="00217001"/>
    <w:rsid w:val="00220C43"/>
    <w:rsid w:val="00223718"/>
    <w:rsid w:val="0022442D"/>
    <w:rsid w:val="0022691A"/>
    <w:rsid w:val="0023009D"/>
    <w:rsid w:val="002336F4"/>
    <w:rsid w:val="002338BF"/>
    <w:rsid w:val="00233BD9"/>
    <w:rsid w:val="002341A7"/>
    <w:rsid w:val="0023514B"/>
    <w:rsid w:val="00235598"/>
    <w:rsid w:val="00236296"/>
    <w:rsid w:val="00237537"/>
    <w:rsid w:val="002416F6"/>
    <w:rsid w:val="00243D2F"/>
    <w:rsid w:val="00244AA8"/>
    <w:rsid w:val="00246212"/>
    <w:rsid w:val="00251433"/>
    <w:rsid w:val="0025229C"/>
    <w:rsid w:val="002538FD"/>
    <w:rsid w:val="00254521"/>
    <w:rsid w:val="002545CA"/>
    <w:rsid w:val="002567B2"/>
    <w:rsid w:val="00257DA9"/>
    <w:rsid w:val="00257E21"/>
    <w:rsid w:val="00260146"/>
    <w:rsid w:val="00263BCA"/>
    <w:rsid w:val="00264AB2"/>
    <w:rsid w:val="0026651F"/>
    <w:rsid w:val="00267F84"/>
    <w:rsid w:val="00270DCA"/>
    <w:rsid w:val="00271431"/>
    <w:rsid w:val="00271ED7"/>
    <w:rsid w:val="0027419D"/>
    <w:rsid w:val="002745C3"/>
    <w:rsid w:val="00275B09"/>
    <w:rsid w:val="00276CCB"/>
    <w:rsid w:val="00280F82"/>
    <w:rsid w:val="00281BCB"/>
    <w:rsid w:val="00281CDB"/>
    <w:rsid w:val="0028753B"/>
    <w:rsid w:val="002877F7"/>
    <w:rsid w:val="00287F37"/>
    <w:rsid w:val="00292084"/>
    <w:rsid w:val="00292D17"/>
    <w:rsid w:val="00295730"/>
    <w:rsid w:val="00296C56"/>
    <w:rsid w:val="002971F7"/>
    <w:rsid w:val="00297246"/>
    <w:rsid w:val="002A0F8B"/>
    <w:rsid w:val="002A2C48"/>
    <w:rsid w:val="002A2C57"/>
    <w:rsid w:val="002A31CA"/>
    <w:rsid w:val="002A7B49"/>
    <w:rsid w:val="002A7BBF"/>
    <w:rsid w:val="002B0DE0"/>
    <w:rsid w:val="002B1564"/>
    <w:rsid w:val="002B1705"/>
    <w:rsid w:val="002B1B6C"/>
    <w:rsid w:val="002B33A2"/>
    <w:rsid w:val="002B4A86"/>
    <w:rsid w:val="002B5373"/>
    <w:rsid w:val="002B544D"/>
    <w:rsid w:val="002B5C20"/>
    <w:rsid w:val="002B6793"/>
    <w:rsid w:val="002C09AA"/>
    <w:rsid w:val="002C4252"/>
    <w:rsid w:val="002C7436"/>
    <w:rsid w:val="002D0367"/>
    <w:rsid w:val="002D1A58"/>
    <w:rsid w:val="002E0DFB"/>
    <w:rsid w:val="002E1524"/>
    <w:rsid w:val="002E1AB5"/>
    <w:rsid w:val="002E1BFE"/>
    <w:rsid w:val="002F2662"/>
    <w:rsid w:val="002F29C5"/>
    <w:rsid w:val="003017DF"/>
    <w:rsid w:val="003030CD"/>
    <w:rsid w:val="00303295"/>
    <w:rsid w:val="00303A0F"/>
    <w:rsid w:val="00303C6A"/>
    <w:rsid w:val="00304DCC"/>
    <w:rsid w:val="00305BF4"/>
    <w:rsid w:val="003101BE"/>
    <w:rsid w:val="00312E22"/>
    <w:rsid w:val="003210D4"/>
    <w:rsid w:val="003211F9"/>
    <w:rsid w:val="00321634"/>
    <w:rsid w:val="003217D5"/>
    <w:rsid w:val="00325527"/>
    <w:rsid w:val="003256F8"/>
    <w:rsid w:val="0032637A"/>
    <w:rsid w:val="00330476"/>
    <w:rsid w:val="00340201"/>
    <w:rsid w:val="00340C98"/>
    <w:rsid w:val="00340CF5"/>
    <w:rsid w:val="00340E12"/>
    <w:rsid w:val="00341E61"/>
    <w:rsid w:val="00344ED9"/>
    <w:rsid w:val="00345033"/>
    <w:rsid w:val="003454F6"/>
    <w:rsid w:val="00345DFB"/>
    <w:rsid w:val="00346403"/>
    <w:rsid w:val="00346FED"/>
    <w:rsid w:val="00351336"/>
    <w:rsid w:val="003513D1"/>
    <w:rsid w:val="00351725"/>
    <w:rsid w:val="003534BC"/>
    <w:rsid w:val="0035368E"/>
    <w:rsid w:val="00354B2F"/>
    <w:rsid w:val="00357AFE"/>
    <w:rsid w:val="00360737"/>
    <w:rsid w:val="00364324"/>
    <w:rsid w:val="00365961"/>
    <w:rsid w:val="00366436"/>
    <w:rsid w:val="003666E1"/>
    <w:rsid w:val="00366DB7"/>
    <w:rsid w:val="003678ED"/>
    <w:rsid w:val="0037018D"/>
    <w:rsid w:val="00370CC4"/>
    <w:rsid w:val="0037153D"/>
    <w:rsid w:val="00371841"/>
    <w:rsid w:val="00372358"/>
    <w:rsid w:val="003726CA"/>
    <w:rsid w:val="00373376"/>
    <w:rsid w:val="00373E70"/>
    <w:rsid w:val="00374396"/>
    <w:rsid w:val="003749AD"/>
    <w:rsid w:val="00377A26"/>
    <w:rsid w:val="00380D7F"/>
    <w:rsid w:val="0038111B"/>
    <w:rsid w:val="00382BEB"/>
    <w:rsid w:val="00384006"/>
    <w:rsid w:val="0039331B"/>
    <w:rsid w:val="003958C1"/>
    <w:rsid w:val="00395D08"/>
    <w:rsid w:val="00396806"/>
    <w:rsid w:val="003970F5"/>
    <w:rsid w:val="003A269D"/>
    <w:rsid w:val="003A28F8"/>
    <w:rsid w:val="003A5B4C"/>
    <w:rsid w:val="003A7BA2"/>
    <w:rsid w:val="003B23AE"/>
    <w:rsid w:val="003B339F"/>
    <w:rsid w:val="003B442B"/>
    <w:rsid w:val="003B4D98"/>
    <w:rsid w:val="003B5FB2"/>
    <w:rsid w:val="003B6BBF"/>
    <w:rsid w:val="003C326C"/>
    <w:rsid w:val="003C36AA"/>
    <w:rsid w:val="003C3E59"/>
    <w:rsid w:val="003C3F46"/>
    <w:rsid w:val="003C6C60"/>
    <w:rsid w:val="003C7DEA"/>
    <w:rsid w:val="003C7E63"/>
    <w:rsid w:val="003D5B75"/>
    <w:rsid w:val="003D649D"/>
    <w:rsid w:val="003D6EFC"/>
    <w:rsid w:val="003D77C5"/>
    <w:rsid w:val="003E1A28"/>
    <w:rsid w:val="003E52CF"/>
    <w:rsid w:val="003E7461"/>
    <w:rsid w:val="003F2605"/>
    <w:rsid w:val="003F37E1"/>
    <w:rsid w:val="003F73C6"/>
    <w:rsid w:val="003F7A2A"/>
    <w:rsid w:val="00401571"/>
    <w:rsid w:val="004028E0"/>
    <w:rsid w:val="004042FE"/>
    <w:rsid w:val="0040688F"/>
    <w:rsid w:val="00407B18"/>
    <w:rsid w:val="0041337B"/>
    <w:rsid w:val="004162DA"/>
    <w:rsid w:val="00417031"/>
    <w:rsid w:val="00417951"/>
    <w:rsid w:val="00423D9E"/>
    <w:rsid w:val="00425822"/>
    <w:rsid w:val="00427467"/>
    <w:rsid w:val="00427701"/>
    <w:rsid w:val="00431332"/>
    <w:rsid w:val="00432253"/>
    <w:rsid w:val="004324BC"/>
    <w:rsid w:val="0043284A"/>
    <w:rsid w:val="00437F9E"/>
    <w:rsid w:val="004415B6"/>
    <w:rsid w:val="0044205A"/>
    <w:rsid w:val="00442A92"/>
    <w:rsid w:val="0044364C"/>
    <w:rsid w:val="00444395"/>
    <w:rsid w:val="0045067B"/>
    <w:rsid w:val="004506EB"/>
    <w:rsid w:val="00450B59"/>
    <w:rsid w:val="0045255B"/>
    <w:rsid w:val="00455D77"/>
    <w:rsid w:val="004565D5"/>
    <w:rsid w:val="00457CDB"/>
    <w:rsid w:val="004609D9"/>
    <w:rsid w:val="00461EE7"/>
    <w:rsid w:val="00464C96"/>
    <w:rsid w:val="00471A92"/>
    <w:rsid w:val="00474449"/>
    <w:rsid w:val="00475F6D"/>
    <w:rsid w:val="004763D1"/>
    <w:rsid w:val="0047702F"/>
    <w:rsid w:val="00477453"/>
    <w:rsid w:val="004812FF"/>
    <w:rsid w:val="004858E0"/>
    <w:rsid w:val="0048746F"/>
    <w:rsid w:val="00487A5C"/>
    <w:rsid w:val="00490271"/>
    <w:rsid w:val="00491A8A"/>
    <w:rsid w:val="00491FD3"/>
    <w:rsid w:val="00493AB1"/>
    <w:rsid w:val="0049430E"/>
    <w:rsid w:val="00494B2D"/>
    <w:rsid w:val="00496CD3"/>
    <w:rsid w:val="00496DF9"/>
    <w:rsid w:val="004971E5"/>
    <w:rsid w:val="004977E1"/>
    <w:rsid w:val="004A35B3"/>
    <w:rsid w:val="004A4304"/>
    <w:rsid w:val="004A52F7"/>
    <w:rsid w:val="004A6E1E"/>
    <w:rsid w:val="004A753A"/>
    <w:rsid w:val="004B26C5"/>
    <w:rsid w:val="004B6C6B"/>
    <w:rsid w:val="004B6C72"/>
    <w:rsid w:val="004C185C"/>
    <w:rsid w:val="004C19FD"/>
    <w:rsid w:val="004C21D8"/>
    <w:rsid w:val="004C3388"/>
    <w:rsid w:val="004C591C"/>
    <w:rsid w:val="004D0AE6"/>
    <w:rsid w:val="004D3EDE"/>
    <w:rsid w:val="004D4986"/>
    <w:rsid w:val="004D5774"/>
    <w:rsid w:val="004D60F6"/>
    <w:rsid w:val="004E028A"/>
    <w:rsid w:val="004E07B9"/>
    <w:rsid w:val="004E0C3F"/>
    <w:rsid w:val="004E1F7C"/>
    <w:rsid w:val="004E5501"/>
    <w:rsid w:val="004E55EB"/>
    <w:rsid w:val="004F01DB"/>
    <w:rsid w:val="004F1E32"/>
    <w:rsid w:val="004F5874"/>
    <w:rsid w:val="004F7301"/>
    <w:rsid w:val="00500ABB"/>
    <w:rsid w:val="005028B6"/>
    <w:rsid w:val="005054CB"/>
    <w:rsid w:val="005067AF"/>
    <w:rsid w:val="00507008"/>
    <w:rsid w:val="00511472"/>
    <w:rsid w:val="0051161B"/>
    <w:rsid w:val="00511B5D"/>
    <w:rsid w:val="00511CCB"/>
    <w:rsid w:val="005136AD"/>
    <w:rsid w:val="0051376B"/>
    <w:rsid w:val="0051416A"/>
    <w:rsid w:val="00516E83"/>
    <w:rsid w:val="00520803"/>
    <w:rsid w:val="005208DA"/>
    <w:rsid w:val="005213B9"/>
    <w:rsid w:val="00521F3B"/>
    <w:rsid w:val="005221E9"/>
    <w:rsid w:val="0052314C"/>
    <w:rsid w:val="00525B9B"/>
    <w:rsid w:val="0052720F"/>
    <w:rsid w:val="0052731B"/>
    <w:rsid w:val="005302CA"/>
    <w:rsid w:val="00530B70"/>
    <w:rsid w:val="00531C7B"/>
    <w:rsid w:val="00532182"/>
    <w:rsid w:val="00533239"/>
    <w:rsid w:val="005334C8"/>
    <w:rsid w:val="005361B0"/>
    <w:rsid w:val="00537176"/>
    <w:rsid w:val="00540A4D"/>
    <w:rsid w:val="00543193"/>
    <w:rsid w:val="00543FCC"/>
    <w:rsid w:val="00544D3A"/>
    <w:rsid w:val="00545BB5"/>
    <w:rsid w:val="00545E47"/>
    <w:rsid w:val="00546898"/>
    <w:rsid w:val="00550FAC"/>
    <w:rsid w:val="00551AD4"/>
    <w:rsid w:val="005545D9"/>
    <w:rsid w:val="00557414"/>
    <w:rsid w:val="00565EE4"/>
    <w:rsid w:val="00570F84"/>
    <w:rsid w:val="0057159D"/>
    <w:rsid w:val="005725EB"/>
    <w:rsid w:val="00572BB3"/>
    <w:rsid w:val="005742A1"/>
    <w:rsid w:val="00574CF8"/>
    <w:rsid w:val="00575A84"/>
    <w:rsid w:val="0057777B"/>
    <w:rsid w:val="0058135F"/>
    <w:rsid w:val="00581C57"/>
    <w:rsid w:val="00582B55"/>
    <w:rsid w:val="00584552"/>
    <w:rsid w:val="0058507C"/>
    <w:rsid w:val="005856A4"/>
    <w:rsid w:val="00586D7D"/>
    <w:rsid w:val="0059076A"/>
    <w:rsid w:val="00592516"/>
    <w:rsid w:val="00594BD9"/>
    <w:rsid w:val="005A1185"/>
    <w:rsid w:val="005A1985"/>
    <w:rsid w:val="005A576F"/>
    <w:rsid w:val="005A5A5B"/>
    <w:rsid w:val="005A6918"/>
    <w:rsid w:val="005A69B9"/>
    <w:rsid w:val="005B78F0"/>
    <w:rsid w:val="005C25A8"/>
    <w:rsid w:val="005C55BB"/>
    <w:rsid w:val="005C5EFF"/>
    <w:rsid w:val="005C79E5"/>
    <w:rsid w:val="005D07D0"/>
    <w:rsid w:val="005D1CF7"/>
    <w:rsid w:val="005D3857"/>
    <w:rsid w:val="005D4BCD"/>
    <w:rsid w:val="005E11EA"/>
    <w:rsid w:val="005E2EB1"/>
    <w:rsid w:val="005E5D07"/>
    <w:rsid w:val="005E726C"/>
    <w:rsid w:val="005E749A"/>
    <w:rsid w:val="005F2650"/>
    <w:rsid w:val="00600064"/>
    <w:rsid w:val="0060213E"/>
    <w:rsid w:val="006039E4"/>
    <w:rsid w:val="0060587D"/>
    <w:rsid w:val="00610D9C"/>
    <w:rsid w:val="00613469"/>
    <w:rsid w:val="00614C87"/>
    <w:rsid w:val="00614ECE"/>
    <w:rsid w:val="00616666"/>
    <w:rsid w:val="00616CE0"/>
    <w:rsid w:val="00617FEA"/>
    <w:rsid w:val="00621B11"/>
    <w:rsid w:val="006221E4"/>
    <w:rsid w:val="006310F3"/>
    <w:rsid w:val="00634726"/>
    <w:rsid w:val="006349F9"/>
    <w:rsid w:val="00634B7B"/>
    <w:rsid w:val="00635B50"/>
    <w:rsid w:val="0064023A"/>
    <w:rsid w:val="00640C0B"/>
    <w:rsid w:val="006415A4"/>
    <w:rsid w:val="00646087"/>
    <w:rsid w:val="00647B69"/>
    <w:rsid w:val="006500B8"/>
    <w:rsid w:val="006541F7"/>
    <w:rsid w:val="00654416"/>
    <w:rsid w:val="00655522"/>
    <w:rsid w:val="00655A99"/>
    <w:rsid w:val="00660C4D"/>
    <w:rsid w:val="006614FC"/>
    <w:rsid w:val="006658F4"/>
    <w:rsid w:val="006660A6"/>
    <w:rsid w:val="00667617"/>
    <w:rsid w:val="006704F7"/>
    <w:rsid w:val="00670C94"/>
    <w:rsid w:val="00670F78"/>
    <w:rsid w:val="00674A98"/>
    <w:rsid w:val="00674D66"/>
    <w:rsid w:val="00675D8F"/>
    <w:rsid w:val="00676DF0"/>
    <w:rsid w:val="006801D6"/>
    <w:rsid w:val="00680C9E"/>
    <w:rsid w:val="006815CA"/>
    <w:rsid w:val="006827F4"/>
    <w:rsid w:val="00686A09"/>
    <w:rsid w:val="00686EB3"/>
    <w:rsid w:val="00687855"/>
    <w:rsid w:val="006879C1"/>
    <w:rsid w:val="00687EF3"/>
    <w:rsid w:val="00692CCA"/>
    <w:rsid w:val="00693469"/>
    <w:rsid w:val="00693DCB"/>
    <w:rsid w:val="0069427A"/>
    <w:rsid w:val="00696A71"/>
    <w:rsid w:val="00696CA9"/>
    <w:rsid w:val="006A0907"/>
    <w:rsid w:val="006A40BD"/>
    <w:rsid w:val="006A5884"/>
    <w:rsid w:val="006A5D1D"/>
    <w:rsid w:val="006A7426"/>
    <w:rsid w:val="006A7B8D"/>
    <w:rsid w:val="006B1370"/>
    <w:rsid w:val="006B2D2D"/>
    <w:rsid w:val="006B31B2"/>
    <w:rsid w:val="006B43F7"/>
    <w:rsid w:val="006B4D6C"/>
    <w:rsid w:val="006C3C51"/>
    <w:rsid w:val="006C5A59"/>
    <w:rsid w:val="006C5B2F"/>
    <w:rsid w:val="006C647B"/>
    <w:rsid w:val="006C6914"/>
    <w:rsid w:val="006C7831"/>
    <w:rsid w:val="006D01E1"/>
    <w:rsid w:val="006D02FC"/>
    <w:rsid w:val="006D0843"/>
    <w:rsid w:val="006D1A46"/>
    <w:rsid w:val="006D29D8"/>
    <w:rsid w:val="006D5E42"/>
    <w:rsid w:val="006E3CD6"/>
    <w:rsid w:val="006E66B1"/>
    <w:rsid w:val="006E7DD2"/>
    <w:rsid w:val="006E7E9A"/>
    <w:rsid w:val="006F0093"/>
    <w:rsid w:val="006F20A2"/>
    <w:rsid w:val="006F408D"/>
    <w:rsid w:val="006F61E2"/>
    <w:rsid w:val="006F6243"/>
    <w:rsid w:val="006F6FFF"/>
    <w:rsid w:val="007009D2"/>
    <w:rsid w:val="00700A6E"/>
    <w:rsid w:val="0070108E"/>
    <w:rsid w:val="00701630"/>
    <w:rsid w:val="00702C2C"/>
    <w:rsid w:val="00703AA8"/>
    <w:rsid w:val="007100E9"/>
    <w:rsid w:val="00710905"/>
    <w:rsid w:val="00710A9A"/>
    <w:rsid w:val="00711A47"/>
    <w:rsid w:val="00711DFD"/>
    <w:rsid w:val="007132C8"/>
    <w:rsid w:val="00715F38"/>
    <w:rsid w:val="007167D6"/>
    <w:rsid w:val="00716DDB"/>
    <w:rsid w:val="00721223"/>
    <w:rsid w:val="00721342"/>
    <w:rsid w:val="00722374"/>
    <w:rsid w:val="007236DF"/>
    <w:rsid w:val="007241E7"/>
    <w:rsid w:val="0072522E"/>
    <w:rsid w:val="007255FF"/>
    <w:rsid w:val="007270F9"/>
    <w:rsid w:val="007278BE"/>
    <w:rsid w:val="007312C0"/>
    <w:rsid w:val="00732631"/>
    <w:rsid w:val="00732BC1"/>
    <w:rsid w:val="00735F8E"/>
    <w:rsid w:val="00737111"/>
    <w:rsid w:val="0073720A"/>
    <w:rsid w:val="00737E28"/>
    <w:rsid w:val="00742657"/>
    <w:rsid w:val="00743424"/>
    <w:rsid w:val="00744880"/>
    <w:rsid w:val="007455C1"/>
    <w:rsid w:val="00747146"/>
    <w:rsid w:val="00747490"/>
    <w:rsid w:val="00747F96"/>
    <w:rsid w:val="00750808"/>
    <w:rsid w:val="00754D86"/>
    <w:rsid w:val="00755819"/>
    <w:rsid w:val="00756697"/>
    <w:rsid w:val="00757699"/>
    <w:rsid w:val="007612B7"/>
    <w:rsid w:val="00761BF9"/>
    <w:rsid w:val="0076337F"/>
    <w:rsid w:val="007635B5"/>
    <w:rsid w:val="00763C07"/>
    <w:rsid w:val="00764342"/>
    <w:rsid w:val="007646F5"/>
    <w:rsid w:val="0076488F"/>
    <w:rsid w:val="00770160"/>
    <w:rsid w:val="00772393"/>
    <w:rsid w:val="00772CB5"/>
    <w:rsid w:val="00772E2F"/>
    <w:rsid w:val="00772F24"/>
    <w:rsid w:val="00774276"/>
    <w:rsid w:val="00774CC1"/>
    <w:rsid w:val="00774DC2"/>
    <w:rsid w:val="007777DA"/>
    <w:rsid w:val="00777E6B"/>
    <w:rsid w:val="007831D0"/>
    <w:rsid w:val="00786370"/>
    <w:rsid w:val="00787EEF"/>
    <w:rsid w:val="007908E5"/>
    <w:rsid w:val="00790E99"/>
    <w:rsid w:val="00792039"/>
    <w:rsid w:val="00792141"/>
    <w:rsid w:val="0079220B"/>
    <w:rsid w:val="00793EA7"/>
    <w:rsid w:val="007946F3"/>
    <w:rsid w:val="007A0D88"/>
    <w:rsid w:val="007A3E42"/>
    <w:rsid w:val="007A6283"/>
    <w:rsid w:val="007B05E5"/>
    <w:rsid w:val="007B1BDB"/>
    <w:rsid w:val="007B29C1"/>
    <w:rsid w:val="007B2AD4"/>
    <w:rsid w:val="007B4CD4"/>
    <w:rsid w:val="007B63A0"/>
    <w:rsid w:val="007B6CE9"/>
    <w:rsid w:val="007C03A4"/>
    <w:rsid w:val="007C0ADC"/>
    <w:rsid w:val="007C251E"/>
    <w:rsid w:val="007C34B7"/>
    <w:rsid w:val="007C36B0"/>
    <w:rsid w:val="007C4989"/>
    <w:rsid w:val="007C760F"/>
    <w:rsid w:val="007D020D"/>
    <w:rsid w:val="007D0C92"/>
    <w:rsid w:val="007D1E4E"/>
    <w:rsid w:val="007D1E69"/>
    <w:rsid w:val="007D2B69"/>
    <w:rsid w:val="007D5A85"/>
    <w:rsid w:val="007D66A6"/>
    <w:rsid w:val="007E058B"/>
    <w:rsid w:val="007E0836"/>
    <w:rsid w:val="007E178A"/>
    <w:rsid w:val="007E335F"/>
    <w:rsid w:val="007E5122"/>
    <w:rsid w:val="007E70FA"/>
    <w:rsid w:val="007F3B07"/>
    <w:rsid w:val="007F3CE8"/>
    <w:rsid w:val="007F47A8"/>
    <w:rsid w:val="00801A4E"/>
    <w:rsid w:val="008029DF"/>
    <w:rsid w:val="008037D3"/>
    <w:rsid w:val="00803D88"/>
    <w:rsid w:val="008057D6"/>
    <w:rsid w:val="00805B25"/>
    <w:rsid w:val="0081226F"/>
    <w:rsid w:val="008126F7"/>
    <w:rsid w:val="008149F7"/>
    <w:rsid w:val="00815EFF"/>
    <w:rsid w:val="008169AF"/>
    <w:rsid w:val="0082049D"/>
    <w:rsid w:val="00821E9B"/>
    <w:rsid w:val="0082352E"/>
    <w:rsid w:val="00823B99"/>
    <w:rsid w:val="008267FE"/>
    <w:rsid w:val="00832C28"/>
    <w:rsid w:val="00833401"/>
    <w:rsid w:val="00833D40"/>
    <w:rsid w:val="00834A56"/>
    <w:rsid w:val="008374AE"/>
    <w:rsid w:val="00841B96"/>
    <w:rsid w:val="008465EA"/>
    <w:rsid w:val="008474A5"/>
    <w:rsid w:val="00850067"/>
    <w:rsid w:val="008501B9"/>
    <w:rsid w:val="008543A2"/>
    <w:rsid w:val="00854FF9"/>
    <w:rsid w:val="00856777"/>
    <w:rsid w:val="00861904"/>
    <w:rsid w:val="0086328B"/>
    <w:rsid w:val="00863FC8"/>
    <w:rsid w:val="00864A46"/>
    <w:rsid w:val="00864E84"/>
    <w:rsid w:val="00865977"/>
    <w:rsid w:val="00865988"/>
    <w:rsid w:val="00866126"/>
    <w:rsid w:val="00873506"/>
    <w:rsid w:val="008752BA"/>
    <w:rsid w:val="00875788"/>
    <w:rsid w:val="00881849"/>
    <w:rsid w:val="00881C81"/>
    <w:rsid w:val="00882069"/>
    <w:rsid w:val="0088299A"/>
    <w:rsid w:val="008832E2"/>
    <w:rsid w:val="00884A6D"/>
    <w:rsid w:val="008861DB"/>
    <w:rsid w:val="008905D6"/>
    <w:rsid w:val="00894AC7"/>
    <w:rsid w:val="0089501D"/>
    <w:rsid w:val="0089563F"/>
    <w:rsid w:val="00896C1A"/>
    <w:rsid w:val="0089718F"/>
    <w:rsid w:val="008A0690"/>
    <w:rsid w:val="008A1500"/>
    <w:rsid w:val="008A480B"/>
    <w:rsid w:val="008A4839"/>
    <w:rsid w:val="008B2F7D"/>
    <w:rsid w:val="008B30CC"/>
    <w:rsid w:val="008B3256"/>
    <w:rsid w:val="008B482E"/>
    <w:rsid w:val="008B5304"/>
    <w:rsid w:val="008B54CC"/>
    <w:rsid w:val="008C0D1C"/>
    <w:rsid w:val="008C2388"/>
    <w:rsid w:val="008C5172"/>
    <w:rsid w:val="008C7693"/>
    <w:rsid w:val="008C78DB"/>
    <w:rsid w:val="008C7A88"/>
    <w:rsid w:val="008C7AF4"/>
    <w:rsid w:val="008D3C2D"/>
    <w:rsid w:val="008D783B"/>
    <w:rsid w:val="008E0FEE"/>
    <w:rsid w:val="008E30AA"/>
    <w:rsid w:val="008E3417"/>
    <w:rsid w:val="008E56D4"/>
    <w:rsid w:val="008E5788"/>
    <w:rsid w:val="008E6F07"/>
    <w:rsid w:val="008E7894"/>
    <w:rsid w:val="008F3304"/>
    <w:rsid w:val="008F3E88"/>
    <w:rsid w:val="008F4F65"/>
    <w:rsid w:val="008F7925"/>
    <w:rsid w:val="0090015C"/>
    <w:rsid w:val="0090052D"/>
    <w:rsid w:val="00900717"/>
    <w:rsid w:val="00901925"/>
    <w:rsid w:val="00901F4F"/>
    <w:rsid w:val="00902593"/>
    <w:rsid w:val="00903376"/>
    <w:rsid w:val="0090384B"/>
    <w:rsid w:val="00903975"/>
    <w:rsid w:val="009041E3"/>
    <w:rsid w:val="009043E1"/>
    <w:rsid w:val="00910C57"/>
    <w:rsid w:val="009118DA"/>
    <w:rsid w:val="00911EB3"/>
    <w:rsid w:val="00912EEA"/>
    <w:rsid w:val="00913AD2"/>
    <w:rsid w:val="00915466"/>
    <w:rsid w:val="0091610E"/>
    <w:rsid w:val="00917319"/>
    <w:rsid w:val="00917C38"/>
    <w:rsid w:val="0092162E"/>
    <w:rsid w:val="0092255E"/>
    <w:rsid w:val="0092460F"/>
    <w:rsid w:val="00924B8C"/>
    <w:rsid w:val="009332B8"/>
    <w:rsid w:val="00934FAE"/>
    <w:rsid w:val="009360C1"/>
    <w:rsid w:val="00936471"/>
    <w:rsid w:val="00937AB4"/>
    <w:rsid w:val="00940B77"/>
    <w:rsid w:val="0094479D"/>
    <w:rsid w:val="00945476"/>
    <w:rsid w:val="009454E0"/>
    <w:rsid w:val="00945EFE"/>
    <w:rsid w:val="00946F65"/>
    <w:rsid w:val="00955046"/>
    <w:rsid w:val="0095515E"/>
    <w:rsid w:val="009556A4"/>
    <w:rsid w:val="00955C69"/>
    <w:rsid w:val="00960E5B"/>
    <w:rsid w:val="0096287C"/>
    <w:rsid w:val="00963902"/>
    <w:rsid w:val="00964CED"/>
    <w:rsid w:val="0096644F"/>
    <w:rsid w:val="009666D2"/>
    <w:rsid w:val="00966FC2"/>
    <w:rsid w:val="00970BE2"/>
    <w:rsid w:val="0097253F"/>
    <w:rsid w:val="00972D56"/>
    <w:rsid w:val="00973596"/>
    <w:rsid w:val="00973F35"/>
    <w:rsid w:val="00974113"/>
    <w:rsid w:val="00981770"/>
    <w:rsid w:val="00981A0B"/>
    <w:rsid w:val="00982374"/>
    <w:rsid w:val="0098509A"/>
    <w:rsid w:val="00985AF7"/>
    <w:rsid w:val="00991F8C"/>
    <w:rsid w:val="009922D9"/>
    <w:rsid w:val="00993EDC"/>
    <w:rsid w:val="00997B23"/>
    <w:rsid w:val="009A07CA"/>
    <w:rsid w:val="009A1D8E"/>
    <w:rsid w:val="009A2DC8"/>
    <w:rsid w:val="009A4A2D"/>
    <w:rsid w:val="009A5E04"/>
    <w:rsid w:val="009A63F4"/>
    <w:rsid w:val="009A77A6"/>
    <w:rsid w:val="009B13F7"/>
    <w:rsid w:val="009B266B"/>
    <w:rsid w:val="009B2681"/>
    <w:rsid w:val="009B3CEC"/>
    <w:rsid w:val="009B636B"/>
    <w:rsid w:val="009B6D29"/>
    <w:rsid w:val="009B6E6B"/>
    <w:rsid w:val="009B7D8F"/>
    <w:rsid w:val="009C0788"/>
    <w:rsid w:val="009C0F12"/>
    <w:rsid w:val="009C3987"/>
    <w:rsid w:val="009C3BBA"/>
    <w:rsid w:val="009C4B0E"/>
    <w:rsid w:val="009C4D1D"/>
    <w:rsid w:val="009C53CE"/>
    <w:rsid w:val="009C60A6"/>
    <w:rsid w:val="009C6148"/>
    <w:rsid w:val="009C7536"/>
    <w:rsid w:val="009D538B"/>
    <w:rsid w:val="009D7CC6"/>
    <w:rsid w:val="009E174D"/>
    <w:rsid w:val="009E22B2"/>
    <w:rsid w:val="009E34F2"/>
    <w:rsid w:val="009E355F"/>
    <w:rsid w:val="009E368B"/>
    <w:rsid w:val="009E3DB7"/>
    <w:rsid w:val="009E4EE1"/>
    <w:rsid w:val="009E65DA"/>
    <w:rsid w:val="009E6726"/>
    <w:rsid w:val="009F1A5A"/>
    <w:rsid w:val="009F215C"/>
    <w:rsid w:val="009F41B4"/>
    <w:rsid w:val="009F4230"/>
    <w:rsid w:val="009F5E83"/>
    <w:rsid w:val="009F7F71"/>
    <w:rsid w:val="009F7FDF"/>
    <w:rsid w:val="00A00007"/>
    <w:rsid w:val="00A0056A"/>
    <w:rsid w:val="00A10518"/>
    <w:rsid w:val="00A10F9D"/>
    <w:rsid w:val="00A11784"/>
    <w:rsid w:val="00A11BEA"/>
    <w:rsid w:val="00A13883"/>
    <w:rsid w:val="00A14BBE"/>
    <w:rsid w:val="00A230DD"/>
    <w:rsid w:val="00A23670"/>
    <w:rsid w:val="00A245C4"/>
    <w:rsid w:val="00A24EF0"/>
    <w:rsid w:val="00A2528F"/>
    <w:rsid w:val="00A31FBE"/>
    <w:rsid w:val="00A32237"/>
    <w:rsid w:val="00A34225"/>
    <w:rsid w:val="00A374EB"/>
    <w:rsid w:val="00A40438"/>
    <w:rsid w:val="00A42B03"/>
    <w:rsid w:val="00A434D6"/>
    <w:rsid w:val="00A454EA"/>
    <w:rsid w:val="00A4568C"/>
    <w:rsid w:val="00A471E2"/>
    <w:rsid w:val="00A4741D"/>
    <w:rsid w:val="00A52390"/>
    <w:rsid w:val="00A557FB"/>
    <w:rsid w:val="00A57E4B"/>
    <w:rsid w:val="00A60C21"/>
    <w:rsid w:val="00A64D5E"/>
    <w:rsid w:val="00A65C54"/>
    <w:rsid w:val="00A6673D"/>
    <w:rsid w:val="00A7103B"/>
    <w:rsid w:val="00A740A8"/>
    <w:rsid w:val="00A7550A"/>
    <w:rsid w:val="00A756C0"/>
    <w:rsid w:val="00A75AEF"/>
    <w:rsid w:val="00A774F5"/>
    <w:rsid w:val="00A85DCB"/>
    <w:rsid w:val="00A95FEF"/>
    <w:rsid w:val="00A96FFA"/>
    <w:rsid w:val="00AA248B"/>
    <w:rsid w:val="00AA249E"/>
    <w:rsid w:val="00AA29E0"/>
    <w:rsid w:val="00AA3464"/>
    <w:rsid w:val="00AA4106"/>
    <w:rsid w:val="00AA4A3A"/>
    <w:rsid w:val="00AA5B0F"/>
    <w:rsid w:val="00AA5FB0"/>
    <w:rsid w:val="00AA6B82"/>
    <w:rsid w:val="00AA7327"/>
    <w:rsid w:val="00AB0477"/>
    <w:rsid w:val="00AB123D"/>
    <w:rsid w:val="00AB222F"/>
    <w:rsid w:val="00AB3751"/>
    <w:rsid w:val="00AB3FAB"/>
    <w:rsid w:val="00AC159F"/>
    <w:rsid w:val="00AC2326"/>
    <w:rsid w:val="00AC2372"/>
    <w:rsid w:val="00AC5D2D"/>
    <w:rsid w:val="00AC611E"/>
    <w:rsid w:val="00AC66B8"/>
    <w:rsid w:val="00AD0C08"/>
    <w:rsid w:val="00AD214D"/>
    <w:rsid w:val="00AD3461"/>
    <w:rsid w:val="00AD46C9"/>
    <w:rsid w:val="00AD4DE0"/>
    <w:rsid w:val="00AD6F5D"/>
    <w:rsid w:val="00AD7908"/>
    <w:rsid w:val="00AE0949"/>
    <w:rsid w:val="00AE1A1B"/>
    <w:rsid w:val="00AE1A35"/>
    <w:rsid w:val="00AE33F1"/>
    <w:rsid w:val="00AE4A79"/>
    <w:rsid w:val="00AE523E"/>
    <w:rsid w:val="00AF3F26"/>
    <w:rsid w:val="00AF4639"/>
    <w:rsid w:val="00AF6397"/>
    <w:rsid w:val="00AF7B18"/>
    <w:rsid w:val="00AF7FC0"/>
    <w:rsid w:val="00B005CD"/>
    <w:rsid w:val="00B02568"/>
    <w:rsid w:val="00B02BBB"/>
    <w:rsid w:val="00B03D27"/>
    <w:rsid w:val="00B0516D"/>
    <w:rsid w:val="00B059F0"/>
    <w:rsid w:val="00B07CD1"/>
    <w:rsid w:val="00B1166C"/>
    <w:rsid w:val="00B12980"/>
    <w:rsid w:val="00B13EA6"/>
    <w:rsid w:val="00B14745"/>
    <w:rsid w:val="00B15363"/>
    <w:rsid w:val="00B15FE7"/>
    <w:rsid w:val="00B20DBC"/>
    <w:rsid w:val="00B21895"/>
    <w:rsid w:val="00B21CF5"/>
    <w:rsid w:val="00B22F99"/>
    <w:rsid w:val="00B302C0"/>
    <w:rsid w:val="00B31AEE"/>
    <w:rsid w:val="00B415DD"/>
    <w:rsid w:val="00B45E3C"/>
    <w:rsid w:val="00B50D0E"/>
    <w:rsid w:val="00B55A82"/>
    <w:rsid w:val="00B56276"/>
    <w:rsid w:val="00B562E4"/>
    <w:rsid w:val="00B639DB"/>
    <w:rsid w:val="00B64467"/>
    <w:rsid w:val="00B649B5"/>
    <w:rsid w:val="00B66BBE"/>
    <w:rsid w:val="00B724BD"/>
    <w:rsid w:val="00B72F9D"/>
    <w:rsid w:val="00B73D26"/>
    <w:rsid w:val="00B7433A"/>
    <w:rsid w:val="00B74C35"/>
    <w:rsid w:val="00B74D03"/>
    <w:rsid w:val="00B74FC7"/>
    <w:rsid w:val="00B764F6"/>
    <w:rsid w:val="00B811E5"/>
    <w:rsid w:val="00B8262A"/>
    <w:rsid w:val="00B86825"/>
    <w:rsid w:val="00B939BE"/>
    <w:rsid w:val="00B94C3A"/>
    <w:rsid w:val="00B96178"/>
    <w:rsid w:val="00B965FC"/>
    <w:rsid w:val="00B96FA7"/>
    <w:rsid w:val="00B97580"/>
    <w:rsid w:val="00BA00B3"/>
    <w:rsid w:val="00BA161C"/>
    <w:rsid w:val="00BA25C1"/>
    <w:rsid w:val="00BA2CAB"/>
    <w:rsid w:val="00BA49FB"/>
    <w:rsid w:val="00BB087E"/>
    <w:rsid w:val="00BB35CC"/>
    <w:rsid w:val="00BB76A3"/>
    <w:rsid w:val="00BC0B31"/>
    <w:rsid w:val="00BC0E90"/>
    <w:rsid w:val="00BC0FEA"/>
    <w:rsid w:val="00BC2437"/>
    <w:rsid w:val="00BC362A"/>
    <w:rsid w:val="00BC62DA"/>
    <w:rsid w:val="00BC67F7"/>
    <w:rsid w:val="00BC6BA6"/>
    <w:rsid w:val="00BC7B64"/>
    <w:rsid w:val="00BD01E3"/>
    <w:rsid w:val="00BD1775"/>
    <w:rsid w:val="00BD2C54"/>
    <w:rsid w:val="00BD3632"/>
    <w:rsid w:val="00BD7CEA"/>
    <w:rsid w:val="00BE1855"/>
    <w:rsid w:val="00BE232D"/>
    <w:rsid w:val="00BE3108"/>
    <w:rsid w:val="00BE376D"/>
    <w:rsid w:val="00BE38B8"/>
    <w:rsid w:val="00BE4B41"/>
    <w:rsid w:val="00BE70AD"/>
    <w:rsid w:val="00BE7256"/>
    <w:rsid w:val="00BF14D1"/>
    <w:rsid w:val="00BF1B47"/>
    <w:rsid w:val="00BF1E6A"/>
    <w:rsid w:val="00BF24C6"/>
    <w:rsid w:val="00BF4A71"/>
    <w:rsid w:val="00BF5E60"/>
    <w:rsid w:val="00BF613B"/>
    <w:rsid w:val="00BF68C8"/>
    <w:rsid w:val="00BF7A5D"/>
    <w:rsid w:val="00BF7B86"/>
    <w:rsid w:val="00BF7FBD"/>
    <w:rsid w:val="00C005D0"/>
    <w:rsid w:val="00C0169E"/>
    <w:rsid w:val="00C019E2"/>
    <w:rsid w:val="00C020ED"/>
    <w:rsid w:val="00C02B54"/>
    <w:rsid w:val="00C0346F"/>
    <w:rsid w:val="00C05663"/>
    <w:rsid w:val="00C0664B"/>
    <w:rsid w:val="00C06D1A"/>
    <w:rsid w:val="00C07AA9"/>
    <w:rsid w:val="00C07C29"/>
    <w:rsid w:val="00C10198"/>
    <w:rsid w:val="00C10DF4"/>
    <w:rsid w:val="00C11762"/>
    <w:rsid w:val="00C1249B"/>
    <w:rsid w:val="00C131DF"/>
    <w:rsid w:val="00C13D6B"/>
    <w:rsid w:val="00C162B4"/>
    <w:rsid w:val="00C17399"/>
    <w:rsid w:val="00C20AE3"/>
    <w:rsid w:val="00C21729"/>
    <w:rsid w:val="00C21A2C"/>
    <w:rsid w:val="00C246E3"/>
    <w:rsid w:val="00C24966"/>
    <w:rsid w:val="00C2664B"/>
    <w:rsid w:val="00C26B1C"/>
    <w:rsid w:val="00C27184"/>
    <w:rsid w:val="00C300E7"/>
    <w:rsid w:val="00C341FE"/>
    <w:rsid w:val="00C356E4"/>
    <w:rsid w:val="00C37953"/>
    <w:rsid w:val="00C37D46"/>
    <w:rsid w:val="00C37F73"/>
    <w:rsid w:val="00C427A3"/>
    <w:rsid w:val="00C43931"/>
    <w:rsid w:val="00C4448B"/>
    <w:rsid w:val="00C444B3"/>
    <w:rsid w:val="00C46627"/>
    <w:rsid w:val="00C46BCC"/>
    <w:rsid w:val="00C472E6"/>
    <w:rsid w:val="00C47ADB"/>
    <w:rsid w:val="00C5360C"/>
    <w:rsid w:val="00C545C1"/>
    <w:rsid w:val="00C55076"/>
    <w:rsid w:val="00C55EAB"/>
    <w:rsid w:val="00C60429"/>
    <w:rsid w:val="00C62C99"/>
    <w:rsid w:val="00C65094"/>
    <w:rsid w:val="00C66AC1"/>
    <w:rsid w:val="00C7160E"/>
    <w:rsid w:val="00C72A68"/>
    <w:rsid w:val="00C73F8B"/>
    <w:rsid w:val="00C740C9"/>
    <w:rsid w:val="00C76676"/>
    <w:rsid w:val="00C768ED"/>
    <w:rsid w:val="00C80B21"/>
    <w:rsid w:val="00C8107E"/>
    <w:rsid w:val="00C825BB"/>
    <w:rsid w:val="00C83E66"/>
    <w:rsid w:val="00C86383"/>
    <w:rsid w:val="00C87188"/>
    <w:rsid w:val="00C879AA"/>
    <w:rsid w:val="00C87B6E"/>
    <w:rsid w:val="00C92E98"/>
    <w:rsid w:val="00C931E5"/>
    <w:rsid w:val="00C962B0"/>
    <w:rsid w:val="00CA18CC"/>
    <w:rsid w:val="00CA4C7A"/>
    <w:rsid w:val="00CA6697"/>
    <w:rsid w:val="00CA6C96"/>
    <w:rsid w:val="00CA7B18"/>
    <w:rsid w:val="00CA7E34"/>
    <w:rsid w:val="00CA7E5B"/>
    <w:rsid w:val="00CB0611"/>
    <w:rsid w:val="00CB106D"/>
    <w:rsid w:val="00CB1DCE"/>
    <w:rsid w:val="00CB45BD"/>
    <w:rsid w:val="00CB4EA1"/>
    <w:rsid w:val="00CB59D8"/>
    <w:rsid w:val="00CC4004"/>
    <w:rsid w:val="00CC41D8"/>
    <w:rsid w:val="00CC4CAE"/>
    <w:rsid w:val="00CC5529"/>
    <w:rsid w:val="00CC5C67"/>
    <w:rsid w:val="00CD22F0"/>
    <w:rsid w:val="00CD5CE7"/>
    <w:rsid w:val="00CD6255"/>
    <w:rsid w:val="00CD7C32"/>
    <w:rsid w:val="00CE03BD"/>
    <w:rsid w:val="00CE049B"/>
    <w:rsid w:val="00CE31A7"/>
    <w:rsid w:val="00CE367D"/>
    <w:rsid w:val="00CF0CF7"/>
    <w:rsid w:val="00CF4BCF"/>
    <w:rsid w:val="00D00DAA"/>
    <w:rsid w:val="00D043D6"/>
    <w:rsid w:val="00D059BD"/>
    <w:rsid w:val="00D06B44"/>
    <w:rsid w:val="00D075FF"/>
    <w:rsid w:val="00D161A4"/>
    <w:rsid w:val="00D16339"/>
    <w:rsid w:val="00D21C4F"/>
    <w:rsid w:val="00D21DCB"/>
    <w:rsid w:val="00D21E79"/>
    <w:rsid w:val="00D21FB5"/>
    <w:rsid w:val="00D23C98"/>
    <w:rsid w:val="00D23D99"/>
    <w:rsid w:val="00D31361"/>
    <w:rsid w:val="00D40B16"/>
    <w:rsid w:val="00D41177"/>
    <w:rsid w:val="00D426E1"/>
    <w:rsid w:val="00D42EAF"/>
    <w:rsid w:val="00D430F6"/>
    <w:rsid w:val="00D4331C"/>
    <w:rsid w:val="00D45735"/>
    <w:rsid w:val="00D46AD9"/>
    <w:rsid w:val="00D47D50"/>
    <w:rsid w:val="00D50C68"/>
    <w:rsid w:val="00D52FF3"/>
    <w:rsid w:val="00D54FA6"/>
    <w:rsid w:val="00D56881"/>
    <w:rsid w:val="00D56E5F"/>
    <w:rsid w:val="00D5786D"/>
    <w:rsid w:val="00D61910"/>
    <w:rsid w:val="00D61CF9"/>
    <w:rsid w:val="00D623C8"/>
    <w:rsid w:val="00D6285A"/>
    <w:rsid w:val="00D62D58"/>
    <w:rsid w:val="00D63BB1"/>
    <w:rsid w:val="00D643F9"/>
    <w:rsid w:val="00D648B8"/>
    <w:rsid w:val="00D730C6"/>
    <w:rsid w:val="00D73878"/>
    <w:rsid w:val="00D76ABE"/>
    <w:rsid w:val="00D80331"/>
    <w:rsid w:val="00D82DF4"/>
    <w:rsid w:val="00D833B0"/>
    <w:rsid w:val="00D837F3"/>
    <w:rsid w:val="00D8566F"/>
    <w:rsid w:val="00D86F97"/>
    <w:rsid w:val="00D87250"/>
    <w:rsid w:val="00D90050"/>
    <w:rsid w:val="00D91011"/>
    <w:rsid w:val="00D91506"/>
    <w:rsid w:val="00D918CF"/>
    <w:rsid w:val="00D936FD"/>
    <w:rsid w:val="00D943FD"/>
    <w:rsid w:val="00D95014"/>
    <w:rsid w:val="00DA1889"/>
    <w:rsid w:val="00DA50A0"/>
    <w:rsid w:val="00DA764E"/>
    <w:rsid w:val="00DB4CDE"/>
    <w:rsid w:val="00DB500F"/>
    <w:rsid w:val="00DB66E4"/>
    <w:rsid w:val="00DC58E9"/>
    <w:rsid w:val="00DC5A0E"/>
    <w:rsid w:val="00DC5D03"/>
    <w:rsid w:val="00DC6584"/>
    <w:rsid w:val="00DD3853"/>
    <w:rsid w:val="00DD4923"/>
    <w:rsid w:val="00DD4F43"/>
    <w:rsid w:val="00DE17CB"/>
    <w:rsid w:val="00DE2B80"/>
    <w:rsid w:val="00DE4A53"/>
    <w:rsid w:val="00DE6A8A"/>
    <w:rsid w:val="00DF0F3A"/>
    <w:rsid w:val="00DF33D1"/>
    <w:rsid w:val="00DF4FD3"/>
    <w:rsid w:val="00DF6EAD"/>
    <w:rsid w:val="00DF7D97"/>
    <w:rsid w:val="00E00CBC"/>
    <w:rsid w:val="00E0300B"/>
    <w:rsid w:val="00E057BF"/>
    <w:rsid w:val="00E1029B"/>
    <w:rsid w:val="00E105E1"/>
    <w:rsid w:val="00E12E9A"/>
    <w:rsid w:val="00E217FC"/>
    <w:rsid w:val="00E249C0"/>
    <w:rsid w:val="00E2607B"/>
    <w:rsid w:val="00E26991"/>
    <w:rsid w:val="00E273A9"/>
    <w:rsid w:val="00E30142"/>
    <w:rsid w:val="00E332E7"/>
    <w:rsid w:val="00E33D3F"/>
    <w:rsid w:val="00E3520F"/>
    <w:rsid w:val="00E378A5"/>
    <w:rsid w:val="00E379B3"/>
    <w:rsid w:val="00E40B04"/>
    <w:rsid w:val="00E42C22"/>
    <w:rsid w:val="00E43487"/>
    <w:rsid w:val="00E47BB0"/>
    <w:rsid w:val="00E50D80"/>
    <w:rsid w:val="00E526E6"/>
    <w:rsid w:val="00E535C4"/>
    <w:rsid w:val="00E54627"/>
    <w:rsid w:val="00E56317"/>
    <w:rsid w:val="00E56C73"/>
    <w:rsid w:val="00E60475"/>
    <w:rsid w:val="00E60BD5"/>
    <w:rsid w:val="00E60C27"/>
    <w:rsid w:val="00E62606"/>
    <w:rsid w:val="00E6300C"/>
    <w:rsid w:val="00E63776"/>
    <w:rsid w:val="00E702DC"/>
    <w:rsid w:val="00E70414"/>
    <w:rsid w:val="00E71628"/>
    <w:rsid w:val="00E74B56"/>
    <w:rsid w:val="00E754FF"/>
    <w:rsid w:val="00E7573E"/>
    <w:rsid w:val="00E76AB0"/>
    <w:rsid w:val="00E819C0"/>
    <w:rsid w:val="00E8278A"/>
    <w:rsid w:val="00E82811"/>
    <w:rsid w:val="00E83484"/>
    <w:rsid w:val="00E85A4C"/>
    <w:rsid w:val="00E91382"/>
    <w:rsid w:val="00E923FB"/>
    <w:rsid w:val="00E94D4C"/>
    <w:rsid w:val="00E95D5A"/>
    <w:rsid w:val="00E9634B"/>
    <w:rsid w:val="00EA0090"/>
    <w:rsid w:val="00EA0BE5"/>
    <w:rsid w:val="00EA2086"/>
    <w:rsid w:val="00EA2C90"/>
    <w:rsid w:val="00EA4BF3"/>
    <w:rsid w:val="00EA6EB4"/>
    <w:rsid w:val="00EA6F41"/>
    <w:rsid w:val="00EB1469"/>
    <w:rsid w:val="00EB24AD"/>
    <w:rsid w:val="00EB4A5D"/>
    <w:rsid w:val="00EB52AB"/>
    <w:rsid w:val="00EB606A"/>
    <w:rsid w:val="00EB640F"/>
    <w:rsid w:val="00EC03AE"/>
    <w:rsid w:val="00EC0573"/>
    <w:rsid w:val="00EC0EAA"/>
    <w:rsid w:val="00EC1AB8"/>
    <w:rsid w:val="00EC3C25"/>
    <w:rsid w:val="00EC615C"/>
    <w:rsid w:val="00EC6C7C"/>
    <w:rsid w:val="00EC738A"/>
    <w:rsid w:val="00ED17CE"/>
    <w:rsid w:val="00ED1918"/>
    <w:rsid w:val="00EE06C2"/>
    <w:rsid w:val="00EE2113"/>
    <w:rsid w:val="00EE3E73"/>
    <w:rsid w:val="00EE4AF1"/>
    <w:rsid w:val="00EE6C1E"/>
    <w:rsid w:val="00EE7CFA"/>
    <w:rsid w:val="00EF1682"/>
    <w:rsid w:val="00EF1929"/>
    <w:rsid w:val="00EF22AC"/>
    <w:rsid w:val="00F00CBF"/>
    <w:rsid w:val="00F01C3C"/>
    <w:rsid w:val="00F04636"/>
    <w:rsid w:val="00F05D0E"/>
    <w:rsid w:val="00F0613F"/>
    <w:rsid w:val="00F06F6F"/>
    <w:rsid w:val="00F112B4"/>
    <w:rsid w:val="00F150A1"/>
    <w:rsid w:val="00F15905"/>
    <w:rsid w:val="00F21878"/>
    <w:rsid w:val="00F2256A"/>
    <w:rsid w:val="00F23264"/>
    <w:rsid w:val="00F32484"/>
    <w:rsid w:val="00F33275"/>
    <w:rsid w:val="00F3672B"/>
    <w:rsid w:val="00F4145F"/>
    <w:rsid w:val="00F42277"/>
    <w:rsid w:val="00F457CA"/>
    <w:rsid w:val="00F5218C"/>
    <w:rsid w:val="00F52253"/>
    <w:rsid w:val="00F52443"/>
    <w:rsid w:val="00F526EA"/>
    <w:rsid w:val="00F52C03"/>
    <w:rsid w:val="00F531A6"/>
    <w:rsid w:val="00F53844"/>
    <w:rsid w:val="00F540F6"/>
    <w:rsid w:val="00F55296"/>
    <w:rsid w:val="00F55C3D"/>
    <w:rsid w:val="00F55D30"/>
    <w:rsid w:val="00F566B2"/>
    <w:rsid w:val="00F57878"/>
    <w:rsid w:val="00F616E3"/>
    <w:rsid w:val="00F616E9"/>
    <w:rsid w:val="00F62120"/>
    <w:rsid w:val="00F62638"/>
    <w:rsid w:val="00F62BA9"/>
    <w:rsid w:val="00F70B11"/>
    <w:rsid w:val="00F70FCD"/>
    <w:rsid w:val="00F71604"/>
    <w:rsid w:val="00F7235C"/>
    <w:rsid w:val="00F74ED5"/>
    <w:rsid w:val="00F76AD1"/>
    <w:rsid w:val="00F776BD"/>
    <w:rsid w:val="00F81859"/>
    <w:rsid w:val="00F81CFB"/>
    <w:rsid w:val="00F823E4"/>
    <w:rsid w:val="00F848DB"/>
    <w:rsid w:val="00F85819"/>
    <w:rsid w:val="00F8603A"/>
    <w:rsid w:val="00F909C5"/>
    <w:rsid w:val="00F9209A"/>
    <w:rsid w:val="00F9222C"/>
    <w:rsid w:val="00F96F18"/>
    <w:rsid w:val="00F97C1D"/>
    <w:rsid w:val="00FA21B9"/>
    <w:rsid w:val="00FA2A1F"/>
    <w:rsid w:val="00FA51FA"/>
    <w:rsid w:val="00FA5F76"/>
    <w:rsid w:val="00FA6BC9"/>
    <w:rsid w:val="00FB0138"/>
    <w:rsid w:val="00FB160C"/>
    <w:rsid w:val="00FB1ED9"/>
    <w:rsid w:val="00FB2D4C"/>
    <w:rsid w:val="00FB4BC9"/>
    <w:rsid w:val="00FB634F"/>
    <w:rsid w:val="00FC31FA"/>
    <w:rsid w:val="00FC53AF"/>
    <w:rsid w:val="00FC6348"/>
    <w:rsid w:val="00FC6481"/>
    <w:rsid w:val="00FC733F"/>
    <w:rsid w:val="00FC783F"/>
    <w:rsid w:val="00FD2106"/>
    <w:rsid w:val="00FD27CC"/>
    <w:rsid w:val="00FD50CD"/>
    <w:rsid w:val="00FD5845"/>
    <w:rsid w:val="00FD5FEE"/>
    <w:rsid w:val="00FE02FE"/>
    <w:rsid w:val="00FE5141"/>
    <w:rsid w:val="00FE603F"/>
    <w:rsid w:val="00FE6248"/>
    <w:rsid w:val="00FE7A7C"/>
    <w:rsid w:val="00FF007D"/>
    <w:rsid w:val="00FF3074"/>
    <w:rsid w:val="00FF3BCF"/>
    <w:rsid w:val="00FF6103"/>
    <w:rsid w:val="00FF7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7DD298"/>
  <w15:docId w15:val="{0A8BA21D-F046-4327-930C-9ABC50D44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B0516D"/>
    <w:pPr>
      <w:widowControl w:val="0"/>
    </w:pPr>
  </w:style>
  <w:style w:type="paragraph" w:styleId="1">
    <w:name w:val="heading 1"/>
    <w:basedOn w:val="a1"/>
    <w:next w:val="a1"/>
    <w:link w:val="10"/>
    <w:uiPriority w:val="9"/>
    <w:qFormat/>
    <w:rsid w:val="007E335F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3">
    <w:name w:val="heading 3"/>
    <w:basedOn w:val="a1"/>
    <w:next w:val="a1"/>
    <w:link w:val="30"/>
    <w:unhideWhenUsed/>
    <w:qFormat/>
    <w:rsid w:val="006349F9"/>
    <w:pPr>
      <w:keepNext/>
      <w:spacing w:line="720" w:lineRule="auto"/>
      <w:outlineLvl w:val="2"/>
    </w:pPr>
    <w:rPr>
      <w:rFonts w:asciiTheme="majorHAnsi" w:eastAsiaTheme="majorEastAsia" w:hAnsiTheme="majorHAnsi" w:cstheme="majorBidi"/>
      <w:b/>
      <w:bCs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1D03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2"/>
    <w:link w:val="a5"/>
    <w:uiPriority w:val="99"/>
    <w:rsid w:val="001D03C5"/>
    <w:rPr>
      <w:sz w:val="20"/>
      <w:szCs w:val="20"/>
    </w:rPr>
  </w:style>
  <w:style w:type="paragraph" w:styleId="a7">
    <w:name w:val="footer"/>
    <w:basedOn w:val="a1"/>
    <w:link w:val="a8"/>
    <w:uiPriority w:val="99"/>
    <w:unhideWhenUsed/>
    <w:rsid w:val="001D03C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2"/>
    <w:link w:val="a7"/>
    <w:uiPriority w:val="99"/>
    <w:rsid w:val="001D03C5"/>
    <w:rPr>
      <w:sz w:val="20"/>
      <w:szCs w:val="20"/>
    </w:rPr>
  </w:style>
  <w:style w:type="paragraph" w:styleId="a9">
    <w:name w:val="Balloon Text"/>
    <w:basedOn w:val="a1"/>
    <w:link w:val="aa"/>
    <w:uiPriority w:val="99"/>
    <w:unhideWhenUsed/>
    <w:rsid w:val="00267F84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註解方塊文字 字元"/>
    <w:basedOn w:val="a2"/>
    <w:link w:val="a9"/>
    <w:uiPriority w:val="99"/>
    <w:rsid w:val="00267F84"/>
    <w:rPr>
      <w:rFonts w:asciiTheme="majorHAnsi" w:eastAsiaTheme="majorEastAsia" w:hAnsiTheme="majorHAnsi" w:cstheme="majorBidi"/>
      <w:sz w:val="18"/>
      <w:szCs w:val="18"/>
    </w:rPr>
  </w:style>
  <w:style w:type="paragraph" w:styleId="Web">
    <w:name w:val="Normal (Web)"/>
    <w:basedOn w:val="a1"/>
    <w:uiPriority w:val="99"/>
    <w:unhideWhenUsed/>
    <w:rsid w:val="008C7693"/>
    <w:rPr>
      <w:rFonts w:ascii="Times New Roman" w:hAnsi="Times New Roman" w:cs="Times New Roman"/>
      <w:szCs w:val="24"/>
    </w:rPr>
  </w:style>
  <w:style w:type="paragraph" w:customStyle="1" w:styleId="ab">
    <w:name w:val="紀錄內文"/>
    <w:basedOn w:val="a1"/>
    <w:uiPriority w:val="99"/>
    <w:rsid w:val="00F526EA"/>
    <w:pPr>
      <w:spacing w:line="480" w:lineRule="exact"/>
      <w:ind w:leftChars="200" w:left="480"/>
      <w:jc w:val="both"/>
    </w:pPr>
    <w:rPr>
      <w:rFonts w:ascii="Times New Roman" w:eastAsia="標楷體" w:hAnsi="Times New Roman" w:cs="Times New Roman"/>
      <w:sz w:val="36"/>
      <w:szCs w:val="36"/>
    </w:rPr>
  </w:style>
  <w:style w:type="paragraph" w:customStyle="1" w:styleId="ac">
    <w:name w:val="案由"/>
    <w:basedOn w:val="a1"/>
    <w:link w:val="ad"/>
    <w:qFormat/>
    <w:rsid w:val="004E55EB"/>
    <w:pPr>
      <w:overflowPunct w:val="0"/>
      <w:snapToGrid w:val="0"/>
      <w:spacing w:before="50" w:line="480" w:lineRule="exact"/>
      <w:ind w:left="960" w:hangingChars="300" w:hanging="960"/>
      <w:jc w:val="both"/>
    </w:pPr>
    <w:rPr>
      <w:rFonts w:ascii="Times New Roman" w:eastAsia="標楷體" w:hAnsi="Times New Roman"/>
      <w:sz w:val="32"/>
    </w:rPr>
  </w:style>
  <w:style w:type="character" w:customStyle="1" w:styleId="ad">
    <w:name w:val="案由 字元"/>
    <w:basedOn w:val="a2"/>
    <w:link w:val="ac"/>
    <w:rsid w:val="004E55EB"/>
    <w:rPr>
      <w:rFonts w:ascii="Times New Roman" w:eastAsia="標楷體" w:hAnsi="Times New Roman"/>
      <w:sz w:val="32"/>
    </w:rPr>
  </w:style>
  <w:style w:type="paragraph" w:customStyle="1" w:styleId="ae">
    <w:name w:val="案由說明等"/>
    <w:basedOn w:val="a1"/>
    <w:link w:val="af"/>
    <w:qFormat/>
    <w:rsid w:val="004042FE"/>
    <w:pPr>
      <w:overflowPunct w:val="0"/>
      <w:snapToGrid w:val="0"/>
      <w:spacing w:before="50" w:line="480" w:lineRule="exact"/>
      <w:ind w:left="960" w:hangingChars="300" w:hanging="960"/>
      <w:jc w:val="both"/>
    </w:pPr>
    <w:rPr>
      <w:rFonts w:ascii="Times New Roman" w:eastAsia="標楷體" w:hAnsi="Times New Roman"/>
      <w:sz w:val="32"/>
      <w:szCs w:val="24"/>
    </w:rPr>
  </w:style>
  <w:style w:type="character" w:customStyle="1" w:styleId="af">
    <w:name w:val="案由說明等 字元"/>
    <w:basedOn w:val="a2"/>
    <w:link w:val="ae"/>
    <w:rsid w:val="004042FE"/>
    <w:rPr>
      <w:rFonts w:ascii="Times New Roman" w:eastAsia="標楷體" w:hAnsi="Times New Roman"/>
      <w:sz w:val="32"/>
      <w:szCs w:val="24"/>
    </w:rPr>
  </w:style>
  <w:style w:type="paragraph" w:customStyle="1" w:styleId="af0">
    <w:name w:val="一、"/>
    <w:basedOn w:val="a1"/>
    <w:link w:val="af1"/>
    <w:qFormat/>
    <w:rsid w:val="004042FE"/>
    <w:pPr>
      <w:overflowPunct w:val="0"/>
      <w:snapToGrid w:val="0"/>
      <w:spacing w:before="50" w:line="480" w:lineRule="exact"/>
      <w:ind w:leftChars="133" w:left="946" w:hangingChars="196" w:hanging="627"/>
      <w:jc w:val="both"/>
    </w:pPr>
    <w:rPr>
      <w:rFonts w:ascii="Times New Roman" w:eastAsia="標楷體" w:hAnsi="Times New Roman" w:cs="Times New Roman"/>
      <w:sz w:val="32"/>
      <w:szCs w:val="32"/>
    </w:rPr>
  </w:style>
  <w:style w:type="character" w:customStyle="1" w:styleId="af1">
    <w:name w:val="一、 字元"/>
    <w:basedOn w:val="a2"/>
    <w:link w:val="af0"/>
    <w:rsid w:val="004042FE"/>
    <w:rPr>
      <w:rFonts w:ascii="Times New Roman" w:eastAsia="標楷體" w:hAnsi="Times New Roman" w:cs="Times New Roman"/>
      <w:sz w:val="32"/>
      <w:szCs w:val="32"/>
    </w:rPr>
  </w:style>
  <w:style w:type="paragraph" w:customStyle="1" w:styleId="af2">
    <w:name w:val="(一)"/>
    <w:basedOn w:val="af3"/>
    <w:link w:val="af4"/>
    <w:qFormat/>
    <w:rsid w:val="001873C4"/>
    <w:pPr>
      <w:overflowPunct w:val="0"/>
      <w:snapToGrid w:val="0"/>
      <w:spacing w:before="50" w:line="480" w:lineRule="exact"/>
      <w:ind w:leftChars="300" w:left="1318" w:hangingChars="187" w:hanging="598"/>
      <w:jc w:val="both"/>
    </w:pPr>
    <w:rPr>
      <w:rFonts w:ascii="Times New Roman" w:eastAsia="標楷體" w:hAnsi="Times New Roman"/>
      <w:sz w:val="32"/>
      <w:szCs w:val="32"/>
    </w:rPr>
  </w:style>
  <w:style w:type="character" w:customStyle="1" w:styleId="af4">
    <w:name w:val="(一) 字元"/>
    <w:basedOn w:val="a2"/>
    <w:link w:val="af2"/>
    <w:rsid w:val="001873C4"/>
    <w:rPr>
      <w:rFonts w:ascii="Times New Roman" w:eastAsia="標楷體" w:hAnsi="Times New Roman"/>
      <w:sz w:val="32"/>
      <w:szCs w:val="32"/>
    </w:rPr>
  </w:style>
  <w:style w:type="paragraph" w:styleId="af3">
    <w:name w:val="List Paragraph"/>
    <w:aliases w:val="圖標號,01章名,樣式A,圖標"/>
    <w:basedOn w:val="a1"/>
    <w:link w:val="af5"/>
    <w:uiPriority w:val="34"/>
    <w:qFormat/>
    <w:rsid w:val="004042FE"/>
    <w:pPr>
      <w:ind w:leftChars="200" w:left="480"/>
    </w:pPr>
  </w:style>
  <w:style w:type="paragraph" w:styleId="af6">
    <w:name w:val="caption"/>
    <w:basedOn w:val="a1"/>
    <w:next w:val="a1"/>
    <w:uiPriority w:val="35"/>
    <w:unhideWhenUsed/>
    <w:qFormat/>
    <w:rsid w:val="00E50D80"/>
    <w:rPr>
      <w:sz w:val="20"/>
      <w:szCs w:val="20"/>
    </w:rPr>
  </w:style>
  <w:style w:type="paragraph" w:customStyle="1" w:styleId="af7">
    <w:name w:val="附表附件"/>
    <w:basedOn w:val="3"/>
    <w:link w:val="af8"/>
    <w:qFormat/>
    <w:rsid w:val="006349F9"/>
    <w:pPr>
      <w:keepNext w:val="0"/>
      <w:overflowPunct w:val="0"/>
      <w:snapToGrid w:val="0"/>
      <w:spacing w:before="50" w:line="480" w:lineRule="exact"/>
      <w:jc w:val="right"/>
      <w:outlineLvl w:val="1"/>
    </w:pPr>
    <w:rPr>
      <w:rFonts w:ascii="Times New Roman" w:eastAsia="標楷體" w:hAnsi="Times New Roman"/>
      <w:b w:val="0"/>
      <w:sz w:val="32"/>
    </w:rPr>
  </w:style>
  <w:style w:type="character" w:customStyle="1" w:styleId="af8">
    <w:name w:val="附表附件 字元"/>
    <w:basedOn w:val="30"/>
    <w:link w:val="af7"/>
    <w:rsid w:val="006349F9"/>
    <w:rPr>
      <w:rFonts w:ascii="Times New Roman" w:eastAsia="標楷體" w:hAnsi="Times New Roman" w:cstheme="majorBidi"/>
      <w:b w:val="0"/>
      <w:bCs/>
      <w:sz w:val="32"/>
      <w:szCs w:val="36"/>
    </w:rPr>
  </w:style>
  <w:style w:type="character" w:customStyle="1" w:styleId="30">
    <w:name w:val="標題 3 字元"/>
    <w:basedOn w:val="a2"/>
    <w:link w:val="3"/>
    <w:semiHidden/>
    <w:rsid w:val="006349F9"/>
    <w:rPr>
      <w:rFonts w:asciiTheme="majorHAnsi" w:eastAsiaTheme="majorEastAsia" w:hAnsiTheme="majorHAnsi" w:cstheme="majorBidi"/>
      <w:b/>
      <w:bCs/>
      <w:sz w:val="36"/>
      <w:szCs w:val="36"/>
    </w:rPr>
  </w:style>
  <w:style w:type="paragraph" w:customStyle="1" w:styleId="11">
    <w:name w:val="1."/>
    <w:basedOn w:val="a1"/>
    <w:link w:val="12"/>
    <w:qFormat/>
    <w:rsid w:val="00B13EA6"/>
    <w:pPr>
      <w:overflowPunct w:val="0"/>
      <w:snapToGrid w:val="0"/>
      <w:spacing w:before="50" w:line="480" w:lineRule="exact"/>
      <w:ind w:left="1560" w:hanging="227"/>
      <w:jc w:val="both"/>
    </w:pPr>
    <w:rPr>
      <w:rFonts w:ascii="Times New Roman" w:eastAsia="標楷體" w:hAnsi="Times New Roman" w:cs="Times New Roman"/>
      <w:sz w:val="32"/>
      <w:szCs w:val="20"/>
    </w:rPr>
  </w:style>
  <w:style w:type="character" w:customStyle="1" w:styleId="12">
    <w:name w:val="1. 字元"/>
    <w:basedOn w:val="a2"/>
    <w:link w:val="11"/>
    <w:rsid w:val="00B13EA6"/>
    <w:rPr>
      <w:rFonts w:ascii="Times New Roman" w:eastAsia="標楷體" w:hAnsi="Times New Roman" w:cs="Times New Roman"/>
      <w:sz w:val="32"/>
      <w:szCs w:val="20"/>
    </w:rPr>
  </w:style>
  <w:style w:type="numbering" w:customStyle="1" w:styleId="13">
    <w:name w:val="無清單1"/>
    <w:next w:val="a4"/>
    <w:semiHidden/>
    <w:rsid w:val="00A434D6"/>
  </w:style>
  <w:style w:type="paragraph" w:styleId="af9">
    <w:name w:val="Date"/>
    <w:basedOn w:val="a1"/>
    <w:next w:val="a1"/>
    <w:link w:val="afa"/>
    <w:uiPriority w:val="99"/>
    <w:rsid w:val="00A434D6"/>
    <w:pPr>
      <w:adjustRightInd w:val="0"/>
      <w:spacing w:line="360" w:lineRule="atLeast"/>
      <w:jc w:val="right"/>
      <w:textAlignment w:val="baseline"/>
    </w:pPr>
    <w:rPr>
      <w:rFonts w:ascii="Times New Roman" w:eastAsia="新細明體" w:hAnsi="Times New Roman" w:cs="Times New Roman"/>
      <w:kern w:val="0"/>
      <w:szCs w:val="20"/>
    </w:rPr>
  </w:style>
  <w:style w:type="character" w:customStyle="1" w:styleId="afa">
    <w:name w:val="日期 字元"/>
    <w:basedOn w:val="a2"/>
    <w:link w:val="af9"/>
    <w:uiPriority w:val="99"/>
    <w:rsid w:val="00A434D6"/>
    <w:rPr>
      <w:rFonts w:ascii="Times New Roman" w:eastAsia="新細明體" w:hAnsi="Times New Roman" w:cs="Times New Roman"/>
      <w:kern w:val="0"/>
      <w:szCs w:val="20"/>
    </w:rPr>
  </w:style>
  <w:style w:type="paragraph" w:customStyle="1" w:styleId="afb">
    <w:name w:val="(一)內文"/>
    <w:basedOn w:val="a1"/>
    <w:uiPriority w:val="99"/>
    <w:rsid w:val="00A434D6"/>
    <w:pPr>
      <w:adjustRightInd w:val="0"/>
      <w:spacing w:line="360" w:lineRule="auto"/>
      <w:ind w:left="360" w:firstLine="540"/>
      <w:textAlignment w:val="baseline"/>
    </w:pPr>
    <w:rPr>
      <w:rFonts w:ascii="全真楷書" w:eastAsia="全真楷書" w:hAnsi="Times New Roman" w:cs="Times New Roman"/>
      <w:kern w:val="0"/>
      <w:sz w:val="28"/>
      <w:szCs w:val="20"/>
    </w:rPr>
  </w:style>
  <w:style w:type="paragraph" w:customStyle="1" w:styleId="14">
    <w:name w:val="1"/>
    <w:basedOn w:val="a1"/>
    <w:uiPriority w:val="99"/>
    <w:rsid w:val="00A434D6"/>
    <w:pPr>
      <w:adjustRightInd w:val="0"/>
      <w:spacing w:line="360" w:lineRule="auto"/>
      <w:ind w:left="1080" w:hanging="360"/>
      <w:textAlignment w:val="baseline"/>
    </w:pPr>
    <w:rPr>
      <w:rFonts w:ascii="Times New Roman" w:eastAsia="全真楷書" w:hAnsi="Times New Roman" w:cs="Times New Roman"/>
      <w:kern w:val="0"/>
      <w:sz w:val="28"/>
      <w:szCs w:val="20"/>
    </w:rPr>
  </w:style>
  <w:style w:type="paragraph" w:styleId="31">
    <w:name w:val="Body Text Indent 3"/>
    <w:basedOn w:val="a1"/>
    <w:link w:val="32"/>
    <w:uiPriority w:val="99"/>
    <w:rsid w:val="00A434D6"/>
    <w:pPr>
      <w:adjustRightInd w:val="0"/>
      <w:spacing w:line="640" w:lineRule="exact"/>
      <w:ind w:left="1680" w:hanging="360"/>
      <w:jc w:val="both"/>
      <w:textAlignment w:val="baseline"/>
    </w:pPr>
    <w:rPr>
      <w:rFonts w:ascii="全真楷書" w:eastAsia="全真楷書" w:hAnsi="Times New Roman" w:cs="Times New Roman"/>
      <w:kern w:val="0"/>
      <w:sz w:val="36"/>
      <w:szCs w:val="20"/>
    </w:rPr>
  </w:style>
  <w:style w:type="character" w:customStyle="1" w:styleId="32">
    <w:name w:val="本文縮排 3 字元"/>
    <w:basedOn w:val="a2"/>
    <w:link w:val="31"/>
    <w:uiPriority w:val="99"/>
    <w:rsid w:val="00A434D6"/>
    <w:rPr>
      <w:rFonts w:ascii="全真楷書" w:eastAsia="全真楷書" w:hAnsi="Times New Roman" w:cs="Times New Roman"/>
      <w:kern w:val="0"/>
      <w:sz w:val="36"/>
      <w:szCs w:val="20"/>
    </w:rPr>
  </w:style>
  <w:style w:type="paragraph" w:customStyle="1" w:styleId="afc">
    <w:name w:val="報院資料標題壹"/>
    <w:basedOn w:val="a1"/>
    <w:link w:val="afd"/>
    <w:autoRedefine/>
    <w:rsid w:val="00A434D6"/>
    <w:pPr>
      <w:tabs>
        <w:tab w:val="right" w:leader="dot" w:pos="9360"/>
      </w:tabs>
      <w:spacing w:line="640" w:lineRule="exact"/>
      <w:ind w:leftChars="95" w:left="2830" w:hangingChars="542" w:hanging="2602"/>
      <w:jc w:val="both"/>
    </w:pPr>
    <w:rPr>
      <w:rFonts w:ascii="Times New Roman" w:eastAsia="標楷體" w:hAnsi="Times New Roman" w:cs="Times New Roman"/>
      <w:szCs w:val="24"/>
    </w:rPr>
  </w:style>
  <w:style w:type="paragraph" w:styleId="afe">
    <w:name w:val="footnote text"/>
    <w:basedOn w:val="a1"/>
    <w:link w:val="aff"/>
    <w:uiPriority w:val="99"/>
    <w:semiHidden/>
    <w:rsid w:val="00A434D6"/>
    <w:pPr>
      <w:snapToGrid w:val="0"/>
    </w:pPr>
    <w:rPr>
      <w:rFonts w:ascii="Times New Roman" w:eastAsia="新細明體" w:hAnsi="Times New Roman" w:cs="Times New Roman"/>
      <w:sz w:val="20"/>
      <w:szCs w:val="20"/>
    </w:rPr>
  </w:style>
  <w:style w:type="character" w:customStyle="1" w:styleId="aff">
    <w:name w:val="註腳文字 字元"/>
    <w:basedOn w:val="a2"/>
    <w:link w:val="afe"/>
    <w:uiPriority w:val="99"/>
    <w:semiHidden/>
    <w:rsid w:val="00A434D6"/>
    <w:rPr>
      <w:rFonts w:ascii="Times New Roman" w:eastAsia="新細明體" w:hAnsi="Times New Roman" w:cs="Times New Roman"/>
      <w:sz w:val="20"/>
      <w:szCs w:val="20"/>
    </w:rPr>
  </w:style>
  <w:style w:type="character" w:styleId="aff0">
    <w:name w:val="footnote reference"/>
    <w:semiHidden/>
    <w:rsid w:val="00A434D6"/>
    <w:rPr>
      <w:vertAlign w:val="superscript"/>
    </w:rPr>
  </w:style>
  <w:style w:type="character" w:customStyle="1" w:styleId="afd">
    <w:name w:val="報院資料標題壹 字元"/>
    <w:link w:val="afc"/>
    <w:rsid w:val="00A434D6"/>
    <w:rPr>
      <w:rFonts w:ascii="Times New Roman" w:eastAsia="標楷體" w:hAnsi="Times New Roman" w:cs="Times New Roman"/>
      <w:szCs w:val="24"/>
    </w:rPr>
  </w:style>
  <w:style w:type="paragraph" w:customStyle="1" w:styleId="15">
    <w:name w:val="報院資料表1"/>
    <w:basedOn w:val="a1"/>
    <w:autoRedefine/>
    <w:uiPriority w:val="99"/>
    <w:rsid w:val="00A434D6"/>
    <w:pPr>
      <w:tabs>
        <w:tab w:val="left" w:pos="2059"/>
        <w:tab w:val="left" w:pos="4159"/>
        <w:tab w:val="left" w:pos="6218"/>
        <w:tab w:val="left" w:pos="7560"/>
        <w:tab w:val="left" w:pos="9787"/>
        <w:tab w:val="left" w:pos="11400"/>
        <w:tab w:val="left" w:pos="12240"/>
      </w:tabs>
      <w:autoSpaceDE w:val="0"/>
      <w:autoSpaceDN w:val="0"/>
      <w:snapToGrid w:val="0"/>
      <w:ind w:left="1800" w:rightChars="311" w:right="746" w:hangingChars="450" w:hanging="1800"/>
    </w:pPr>
    <w:rPr>
      <w:rFonts w:ascii="Times New Roman" w:eastAsia="標楷體" w:hAnsi="Times New Roman" w:cs="Times New Roman"/>
      <w:sz w:val="32"/>
      <w:szCs w:val="32"/>
    </w:rPr>
  </w:style>
  <w:style w:type="character" w:styleId="aff1">
    <w:name w:val="page number"/>
    <w:basedOn w:val="a2"/>
    <w:rsid w:val="00A434D6"/>
  </w:style>
  <w:style w:type="paragraph" w:styleId="aff2">
    <w:name w:val="Body Text Indent"/>
    <w:basedOn w:val="a1"/>
    <w:link w:val="aff3"/>
    <w:uiPriority w:val="99"/>
    <w:rsid w:val="00A434D6"/>
    <w:pPr>
      <w:spacing w:after="120"/>
      <w:ind w:leftChars="200" w:left="480"/>
    </w:pPr>
    <w:rPr>
      <w:rFonts w:ascii="Times New Roman" w:eastAsia="新細明體" w:hAnsi="Times New Roman" w:cs="Times New Roman"/>
      <w:szCs w:val="24"/>
    </w:rPr>
  </w:style>
  <w:style w:type="character" w:customStyle="1" w:styleId="aff3">
    <w:name w:val="本文縮排 字元"/>
    <w:basedOn w:val="a2"/>
    <w:link w:val="aff2"/>
    <w:uiPriority w:val="99"/>
    <w:rsid w:val="00A434D6"/>
    <w:rPr>
      <w:rFonts w:ascii="Times New Roman" w:eastAsia="新細明體" w:hAnsi="Times New Roman" w:cs="Times New Roman"/>
      <w:szCs w:val="24"/>
    </w:rPr>
  </w:style>
  <w:style w:type="table" w:styleId="aff4">
    <w:name w:val="Table Grid"/>
    <w:basedOn w:val="a3"/>
    <w:rsid w:val="00A434D6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">
    <w:name w:val="List Bullet"/>
    <w:basedOn w:val="a1"/>
    <w:uiPriority w:val="99"/>
    <w:rsid w:val="00A434D6"/>
    <w:pPr>
      <w:numPr>
        <w:numId w:val="1"/>
      </w:numPr>
      <w:contextualSpacing/>
    </w:pPr>
    <w:rPr>
      <w:rFonts w:ascii="Times New Roman" w:eastAsia="新細明體" w:hAnsi="Times New Roman" w:cs="Times New Roman"/>
      <w:szCs w:val="24"/>
    </w:rPr>
  </w:style>
  <w:style w:type="character" w:styleId="aff5">
    <w:name w:val="Emphasis"/>
    <w:uiPriority w:val="20"/>
    <w:qFormat/>
    <w:rsid w:val="00A434D6"/>
    <w:rPr>
      <w:b w:val="0"/>
      <w:bCs w:val="0"/>
      <w:i w:val="0"/>
      <w:iCs w:val="0"/>
      <w:color w:val="DD4B39"/>
    </w:rPr>
  </w:style>
  <w:style w:type="character" w:customStyle="1" w:styleId="st1">
    <w:name w:val="st1"/>
    <w:rsid w:val="00A434D6"/>
  </w:style>
  <w:style w:type="character" w:customStyle="1" w:styleId="af5">
    <w:name w:val="清單段落 字元"/>
    <w:aliases w:val="圖標號 字元,01章名 字元,樣式A 字元,圖標 字元"/>
    <w:link w:val="af3"/>
    <w:uiPriority w:val="34"/>
    <w:rsid w:val="00A434D6"/>
  </w:style>
  <w:style w:type="character" w:customStyle="1" w:styleId="10">
    <w:name w:val="標題 1 字元"/>
    <w:basedOn w:val="a2"/>
    <w:link w:val="1"/>
    <w:uiPriority w:val="9"/>
    <w:rsid w:val="007E335F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table" w:customStyle="1" w:styleId="16">
    <w:name w:val="表格格線1"/>
    <w:basedOn w:val="a3"/>
    <w:next w:val="aff4"/>
    <w:uiPriority w:val="59"/>
    <w:rsid w:val="006134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表格格線2"/>
    <w:basedOn w:val="a3"/>
    <w:next w:val="aff4"/>
    <w:uiPriority w:val="59"/>
    <w:rsid w:val="00BC0B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3">
    <w:name w:val="表格格線3"/>
    <w:basedOn w:val="a3"/>
    <w:next w:val="aff4"/>
    <w:uiPriority w:val="59"/>
    <w:rsid w:val="00292D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0">
    <w:name w:val="無清單2"/>
    <w:next w:val="a4"/>
    <w:uiPriority w:val="99"/>
    <w:semiHidden/>
    <w:unhideWhenUsed/>
    <w:rsid w:val="006D01E1"/>
  </w:style>
  <w:style w:type="paragraph" w:customStyle="1" w:styleId="a0">
    <w:name w:val="第　案"/>
    <w:basedOn w:val="a1"/>
    <w:link w:val="aff6"/>
    <w:qFormat/>
    <w:rsid w:val="006D01E1"/>
    <w:pPr>
      <w:numPr>
        <w:numId w:val="2"/>
      </w:numPr>
      <w:overflowPunct w:val="0"/>
      <w:snapToGrid w:val="0"/>
      <w:spacing w:before="50" w:line="480" w:lineRule="exact"/>
      <w:ind w:firstLine="0"/>
      <w:jc w:val="both"/>
      <w:outlineLvl w:val="2"/>
    </w:pPr>
    <w:rPr>
      <w:rFonts w:ascii="Times New Roman" w:eastAsia="標楷體" w:hAnsi="Times New Roman"/>
      <w:sz w:val="32"/>
      <w:szCs w:val="24"/>
    </w:rPr>
  </w:style>
  <w:style w:type="character" w:customStyle="1" w:styleId="aff6">
    <w:name w:val="第　案 字元"/>
    <w:basedOn w:val="a2"/>
    <w:link w:val="a0"/>
    <w:rsid w:val="006D01E1"/>
    <w:rPr>
      <w:rFonts w:ascii="Times New Roman" w:eastAsia="標楷體" w:hAnsi="Times New Roman"/>
      <w:sz w:val="32"/>
      <w:szCs w:val="24"/>
    </w:rPr>
  </w:style>
  <w:style w:type="character" w:customStyle="1" w:styleId="aff7">
    <w:name w:val="註解文字 字元"/>
    <w:basedOn w:val="a2"/>
    <w:link w:val="aff8"/>
    <w:uiPriority w:val="99"/>
    <w:semiHidden/>
    <w:rsid w:val="006D01E1"/>
    <w:rPr>
      <w:szCs w:val="24"/>
    </w:rPr>
  </w:style>
  <w:style w:type="paragraph" w:styleId="aff8">
    <w:name w:val="annotation text"/>
    <w:basedOn w:val="a1"/>
    <w:link w:val="aff7"/>
    <w:uiPriority w:val="99"/>
    <w:semiHidden/>
    <w:unhideWhenUsed/>
    <w:rsid w:val="006D01E1"/>
    <w:pPr>
      <w:overflowPunct w:val="0"/>
    </w:pPr>
    <w:rPr>
      <w:szCs w:val="24"/>
    </w:rPr>
  </w:style>
  <w:style w:type="character" w:customStyle="1" w:styleId="17">
    <w:name w:val="註解文字 字元1"/>
    <w:basedOn w:val="a2"/>
    <w:uiPriority w:val="99"/>
    <w:semiHidden/>
    <w:rsid w:val="006D01E1"/>
  </w:style>
  <w:style w:type="table" w:customStyle="1" w:styleId="110">
    <w:name w:val="表格格線11"/>
    <w:basedOn w:val="a3"/>
    <w:uiPriority w:val="59"/>
    <w:rsid w:val="006D01E1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">
    <w:name w:val="表格格線4"/>
    <w:basedOn w:val="a3"/>
    <w:next w:val="aff4"/>
    <w:rsid w:val="006D01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">
    <w:name w:val="表格格線5"/>
    <w:basedOn w:val="a3"/>
    <w:next w:val="aff4"/>
    <w:uiPriority w:val="59"/>
    <w:rsid w:val="006D01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">
    <w:name w:val="表格格線6"/>
    <w:basedOn w:val="a3"/>
    <w:next w:val="aff4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34">
    <w:name w:val="無清單3"/>
    <w:next w:val="a4"/>
    <w:uiPriority w:val="99"/>
    <w:semiHidden/>
    <w:unhideWhenUsed/>
    <w:rsid w:val="00D86F97"/>
  </w:style>
  <w:style w:type="table" w:customStyle="1" w:styleId="120">
    <w:name w:val="表格格線12"/>
    <w:basedOn w:val="a3"/>
    <w:uiPriority w:val="59"/>
    <w:rsid w:val="00D86F97"/>
    <w:rPr>
      <w:rFonts w:eastAsia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">
    <w:name w:val="表格格線7"/>
    <w:basedOn w:val="a3"/>
    <w:next w:val="aff4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">
    <w:name w:val="表格格線8"/>
    <w:basedOn w:val="a3"/>
    <w:next w:val="aff4"/>
    <w:uiPriority w:val="59"/>
    <w:rsid w:val="00D86F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">
    <w:name w:val="表格格線9"/>
    <w:basedOn w:val="a3"/>
    <w:next w:val="aff4"/>
    <w:uiPriority w:val="39"/>
    <w:rsid w:val="002877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表格格線22"/>
    <w:basedOn w:val="a3"/>
    <w:next w:val="aff4"/>
    <w:uiPriority w:val="39"/>
    <w:rsid w:val="00C87B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表格格線10"/>
    <w:basedOn w:val="a3"/>
    <w:next w:val="aff4"/>
    <w:uiPriority w:val="59"/>
    <w:rsid w:val="009C39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30">
    <w:name w:val="表格格線13"/>
    <w:basedOn w:val="a3"/>
    <w:next w:val="aff4"/>
    <w:uiPriority w:val="59"/>
    <w:rsid w:val="009735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9">
    <w:name w:val="annotation reference"/>
    <w:basedOn w:val="a2"/>
    <w:uiPriority w:val="99"/>
    <w:semiHidden/>
    <w:unhideWhenUsed/>
    <w:rsid w:val="009041E3"/>
    <w:rPr>
      <w:sz w:val="18"/>
      <w:szCs w:val="18"/>
    </w:rPr>
  </w:style>
  <w:style w:type="paragraph" w:styleId="affa">
    <w:name w:val="annotation subject"/>
    <w:basedOn w:val="aff8"/>
    <w:next w:val="aff8"/>
    <w:link w:val="affb"/>
    <w:uiPriority w:val="99"/>
    <w:semiHidden/>
    <w:unhideWhenUsed/>
    <w:rsid w:val="009041E3"/>
    <w:pPr>
      <w:overflowPunct/>
    </w:pPr>
    <w:rPr>
      <w:b/>
      <w:bCs/>
      <w:szCs w:val="22"/>
    </w:rPr>
  </w:style>
  <w:style w:type="character" w:customStyle="1" w:styleId="affb">
    <w:name w:val="註解主旨 字元"/>
    <w:basedOn w:val="aff7"/>
    <w:link w:val="affa"/>
    <w:uiPriority w:val="99"/>
    <w:semiHidden/>
    <w:rsid w:val="009041E3"/>
    <w:rPr>
      <w:b/>
      <w:bCs/>
      <w:szCs w:val="24"/>
    </w:rPr>
  </w:style>
  <w:style w:type="paragraph" w:customStyle="1" w:styleId="Default">
    <w:name w:val="Default"/>
    <w:rsid w:val="00C37F73"/>
    <w:pPr>
      <w:widowControl w:val="0"/>
      <w:autoSpaceDE w:val="0"/>
      <w:autoSpaceDN w:val="0"/>
      <w:adjustRightInd w:val="0"/>
    </w:pPr>
    <w:rPr>
      <w:rFonts w:ascii="標楷體" w:eastAsia="標楷體" w:hAnsi="Times New Roman" w:cs="標楷體"/>
      <w:color w:val="000000"/>
      <w:kern w:val="0"/>
      <w:szCs w:val="24"/>
      <w:lang w:bidi="hi-IN"/>
    </w:rPr>
  </w:style>
  <w:style w:type="table" w:customStyle="1" w:styleId="140">
    <w:name w:val="表格格線14"/>
    <w:basedOn w:val="a3"/>
    <w:next w:val="aff4"/>
    <w:uiPriority w:val="39"/>
    <w:rsid w:val="005715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26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3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7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2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0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1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0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8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1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5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8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9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2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3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9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87A53F-86EC-4E48-8F18-5E1C5A625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1873</Words>
  <Characters>10682</Characters>
  <Application>Microsoft Office Word</Application>
  <DocSecurity>0</DocSecurity>
  <Lines>89</Lines>
  <Paragraphs>25</Paragraphs>
  <ScaleCrop>false</ScaleCrop>
  <Company>DOH</Company>
  <LinksUpToDate>false</LinksUpToDate>
  <CharactersWithSpaces>12530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全民健康保險會顏銘燦</dc:creator>
  <cp:lastModifiedBy>全國聯合會 中華民國牙醫師公會</cp:lastModifiedBy>
  <cp:revision>3</cp:revision>
  <cp:lastPrinted>2025-02-21T01:47:00Z</cp:lastPrinted>
  <dcterms:created xsi:type="dcterms:W3CDTF">2025-02-21T02:55:00Z</dcterms:created>
  <dcterms:modified xsi:type="dcterms:W3CDTF">2025-02-21T02:58:00Z</dcterms:modified>
</cp:coreProperties>
</file>