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76" w:rsidRPr="002A6F73" w:rsidRDefault="007B5376" w:rsidP="000A4F7D">
      <w:pPr>
        <w:spacing w:line="560" w:lineRule="exact"/>
        <w:jc w:val="center"/>
        <w:rPr>
          <w:rFonts w:ascii="Times New Roman" w:eastAsia="標楷體" w:hAnsi="標楷體" w:cs="Times New Roman" w:hint="eastAsia"/>
          <w:b/>
          <w:sz w:val="32"/>
          <w:szCs w:val="32"/>
        </w:rPr>
      </w:pPr>
      <w:r w:rsidRPr="002A6F73">
        <w:rPr>
          <w:rFonts w:ascii="Times New Roman" w:eastAsia="標楷體" w:hAnsi="標楷體" w:cs="Times New Roman" w:hint="eastAsia"/>
          <w:b/>
          <w:sz w:val="32"/>
          <w:szCs w:val="32"/>
        </w:rPr>
        <w:t>中華民國牙醫師公會全國</w:t>
      </w:r>
      <w:r w:rsidR="0080173E" w:rsidRPr="002A6F73">
        <w:rPr>
          <w:rFonts w:ascii="Times New Roman" w:eastAsia="標楷體" w:hAnsi="標楷體" w:cs="Times New Roman" w:hint="eastAsia"/>
          <w:b/>
          <w:sz w:val="32"/>
          <w:szCs w:val="32"/>
        </w:rPr>
        <w:t>聯</w:t>
      </w:r>
      <w:r w:rsidRPr="002A6F73">
        <w:rPr>
          <w:rFonts w:ascii="Times New Roman" w:eastAsia="標楷體" w:hAnsi="標楷體" w:cs="Times New Roman" w:hint="eastAsia"/>
          <w:b/>
          <w:sz w:val="32"/>
          <w:szCs w:val="32"/>
        </w:rPr>
        <w:t>合</w:t>
      </w:r>
      <w:r w:rsidR="0080173E" w:rsidRPr="002A6F73">
        <w:rPr>
          <w:rFonts w:ascii="Times New Roman" w:eastAsia="標楷體" w:hAnsi="標楷體" w:cs="Times New Roman" w:hint="eastAsia"/>
          <w:b/>
          <w:sz w:val="32"/>
          <w:szCs w:val="32"/>
        </w:rPr>
        <w:t>會</w:t>
      </w:r>
    </w:p>
    <w:p w:rsidR="0080173E" w:rsidRPr="002A6F73" w:rsidRDefault="007B5376" w:rsidP="000A4F7D">
      <w:pPr>
        <w:spacing w:line="56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2A6F73">
        <w:rPr>
          <w:rFonts w:ascii="Times New Roman" w:eastAsia="標楷體" w:hAnsi="標楷體" w:cs="Times New Roman" w:hint="eastAsia"/>
          <w:b/>
          <w:sz w:val="32"/>
          <w:szCs w:val="32"/>
        </w:rPr>
        <w:t>2012</w:t>
      </w:r>
      <w:r w:rsidRPr="002A6F73">
        <w:rPr>
          <w:rFonts w:ascii="Times New Roman" w:eastAsia="標楷體" w:hAnsi="標楷體" w:cs="Times New Roman" w:hint="eastAsia"/>
          <w:b/>
          <w:sz w:val="32"/>
          <w:szCs w:val="32"/>
        </w:rPr>
        <w:t>年全民</w:t>
      </w:r>
      <w:proofErr w:type="gramStart"/>
      <w:r w:rsidR="00850305" w:rsidRPr="002A6F73">
        <w:rPr>
          <w:rFonts w:ascii="Times New Roman" w:eastAsia="標楷體" w:hAnsi="標楷體" w:cs="Times New Roman" w:hint="eastAsia"/>
          <w:b/>
          <w:sz w:val="32"/>
          <w:szCs w:val="32"/>
        </w:rPr>
        <w:t>民</w:t>
      </w:r>
      <w:proofErr w:type="gramEnd"/>
      <w:r w:rsidRPr="002A6F73">
        <w:rPr>
          <w:rFonts w:ascii="Times New Roman" w:eastAsia="標楷體" w:hAnsi="標楷體" w:cs="Times New Roman" w:hint="eastAsia"/>
          <w:b/>
          <w:sz w:val="32"/>
          <w:szCs w:val="32"/>
        </w:rPr>
        <w:t>口腔</w:t>
      </w:r>
      <w:r w:rsidR="00850305" w:rsidRPr="002A6F73">
        <w:rPr>
          <w:rFonts w:ascii="Times New Roman" w:eastAsia="標楷體" w:hAnsi="標楷體" w:cs="Times New Roman" w:hint="eastAsia"/>
          <w:b/>
          <w:sz w:val="32"/>
          <w:szCs w:val="32"/>
        </w:rPr>
        <w:t>健康</w:t>
      </w:r>
      <w:proofErr w:type="gramStart"/>
      <w:r w:rsidR="00850305" w:rsidRPr="002A6F73">
        <w:rPr>
          <w:rFonts w:ascii="Times New Roman" w:eastAsia="標楷體" w:hAnsi="標楷體" w:cs="Times New Roman" w:hint="eastAsia"/>
          <w:b/>
          <w:sz w:val="32"/>
          <w:szCs w:val="32"/>
        </w:rPr>
        <w:t>週</w:t>
      </w:r>
      <w:proofErr w:type="gramEnd"/>
      <w:r w:rsidRPr="002A6F73">
        <w:rPr>
          <w:rFonts w:ascii="Times New Roman" w:eastAsia="標楷體" w:hAnsi="標楷體" w:cs="Times New Roman" w:hint="eastAsia"/>
          <w:b/>
          <w:sz w:val="32"/>
          <w:szCs w:val="32"/>
        </w:rPr>
        <w:t>系列活動</w:t>
      </w:r>
      <w:r w:rsidRPr="002A6F73">
        <w:rPr>
          <w:rFonts w:ascii="Times New Roman" w:eastAsia="標楷體" w:hAnsi="標楷體" w:cs="Times New Roman" w:hint="eastAsia"/>
          <w:b/>
          <w:sz w:val="32"/>
          <w:szCs w:val="32"/>
        </w:rPr>
        <w:t>-</w:t>
      </w:r>
      <w:r w:rsidR="00850305" w:rsidRPr="002A6F73">
        <w:rPr>
          <w:rFonts w:ascii="Times New Roman" w:eastAsia="標楷體" w:hAnsi="標楷體" w:cs="Times New Roman" w:hint="eastAsia"/>
          <w:b/>
          <w:sz w:val="32"/>
          <w:szCs w:val="32"/>
        </w:rPr>
        <w:t>牙周病研討會</w:t>
      </w:r>
      <w:bookmarkStart w:id="0" w:name="_GoBack"/>
      <w:bookmarkEnd w:id="0"/>
    </w:p>
    <w:p w:rsidR="000A4F7D" w:rsidRDefault="000A4F7D" w:rsidP="000A4F7D">
      <w:pPr>
        <w:spacing w:line="400" w:lineRule="exact"/>
        <w:rPr>
          <w:rFonts w:ascii="Times New Roman" w:eastAsia="標楷體" w:hAnsi="標楷體" w:cs="Times New Roman" w:hint="eastAsia"/>
          <w:sz w:val="28"/>
          <w:szCs w:val="28"/>
        </w:rPr>
      </w:pPr>
    </w:p>
    <w:p w:rsidR="004B754E" w:rsidRPr="000A4F7D" w:rsidRDefault="004B754E" w:rsidP="000A4F7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0A4F7D">
        <w:rPr>
          <w:rFonts w:ascii="Times New Roman" w:eastAsia="標楷體" w:hAnsi="標楷體" w:cs="Times New Roman"/>
          <w:sz w:val="28"/>
          <w:szCs w:val="28"/>
        </w:rPr>
        <w:t>一、背景</w:t>
      </w:r>
    </w:p>
    <w:p w:rsidR="004B754E" w:rsidRPr="000A4F7D" w:rsidRDefault="004B754E" w:rsidP="000A4F7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0A4F7D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0A4F7D">
        <w:rPr>
          <w:rFonts w:ascii="Times New Roman" w:eastAsia="標楷體" w:hAnsi="標楷體" w:cs="Times New Roman"/>
          <w:sz w:val="28"/>
          <w:szCs w:val="28"/>
        </w:rPr>
        <w:t>台灣牙周病之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罹</w:t>
      </w:r>
      <w:proofErr w:type="gramEnd"/>
      <w:r w:rsidRPr="000A4F7D">
        <w:rPr>
          <w:rFonts w:ascii="Times New Roman" w:eastAsia="標楷體" w:hAnsi="標楷體" w:cs="Times New Roman"/>
          <w:sz w:val="28"/>
          <w:szCs w:val="28"/>
        </w:rPr>
        <w:t>患率</w:t>
      </w:r>
    </w:p>
    <w:p w:rsidR="004B754E" w:rsidRPr="000A4F7D" w:rsidRDefault="004B754E" w:rsidP="000A4F7D">
      <w:pPr>
        <w:spacing w:line="40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0A4F7D">
        <w:rPr>
          <w:rFonts w:ascii="Times New Roman" w:eastAsia="標楷體" w:hAnsi="標楷體" w:cs="Times New Roman"/>
          <w:sz w:val="28"/>
          <w:szCs w:val="28"/>
        </w:rPr>
        <w:t>國民健康局在</w:t>
      </w:r>
      <w:r w:rsidRPr="000A4F7D">
        <w:rPr>
          <w:rFonts w:ascii="Times New Roman" w:eastAsia="標楷體" w:hAnsi="Times New Roman" w:cs="Times New Roman"/>
          <w:sz w:val="28"/>
          <w:szCs w:val="28"/>
        </w:rPr>
        <w:t>2007-2008</w:t>
      </w:r>
      <w:r w:rsidRPr="000A4F7D">
        <w:rPr>
          <w:rFonts w:ascii="Times New Roman" w:eastAsia="標楷體" w:hAnsi="標楷體" w:cs="Times New Roman"/>
          <w:sz w:val="28"/>
          <w:szCs w:val="28"/>
        </w:rPr>
        <w:t>做了台灣之</w:t>
      </w:r>
      <w:r w:rsidRPr="000A4F7D">
        <w:rPr>
          <w:rFonts w:ascii="Times New Roman" w:eastAsia="標楷體" w:hAnsi="Times New Roman" w:cs="Times New Roman"/>
          <w:sz w:val="28"/>
          <w:szCs w:val="28"/>
        </w:rPr>
        <w:t>18</w:t>
      </w:r>
      <w:r w:rsidRPr="000A4F7D">
        <w:rPr>
          <w:rFonts w:ascii="Times New Roman" w:eastAsia="標楷體" w:hAnsi="標楷體" w:cs="Times New Roman"/>
          <w:sz w:val="28"/>
          <w:szCs w:val="28"/>
        </w:rPr>
        <w:t>歲以上成人牙周病調查。所用之工具為問卷調查與</w:t>
      </w:r>
      <w:r w:rsidRPr="000A4F7D">
        <w:rPr>
          <w:rFonts w:ascii="Times New Roman" w:eastAsia="標楷體" w:hAnsi="Times New Roman" w:cs="Times New Roman"/>
          <w:sz w:val="28"/>
          <w:szCs w:val="28"/>
        </w:rPr>
        <w:t>WHO</w:t>
      </w:r>
      <w:r w:rsidRPr="000A4F7D">
        <w:rPr>
          <w:rFonts w:ascii="Times New Roman" w:eastAsia="標楷體" w:hAnsi="標楷體" w:cs="Times New Roman"/>
          <w:sz w:val="28"/>
          <w:szCs w:val="28"/>
        </w:rPr>
        <w:t>之</w:t>
      </w:r>
      <w:r w:rsidRPr="000A4F7D">
        <w:rPr>
          <w:rFonts w:ascii="Times New Roman" w:eastAsia="標楷體" w:hAnsi="Times New Roman" w:cs="Times New Roman"/>
          <w:sz w:val="28"/>
          <w:szCs w:val="28"/>
        </w:rPr>
        <w:t xml:space="preserve">Community Periodontal Index (CPI </w:t>
      </w:r>
      <w:r w:rsidRPr="000A4F7D">
        <w:rPr>
          <w:rFonts w:ascii="Times New Roman" w:eastAsia="標楷體" w:hAnsi="標楷體" w:cs="Times New Roman"/>
          <w:sz w:val="28"/>
          <w:szCs w:val="28"/>
        </w:rPr>
        <w:t>社區牙周指數</w:t>
      </w:r>
      <w:r w:rsidRPr="000A4F7D">
        <w:rPr>
          <w:rFonts w:ascii="Times New Roman" w:eastAsia="標楷體" w:hAnsi="Times New Roman" w:cs="Times New Roman"/>
          <w:sz w:val="28"/>
          <w:szCs w:val="28"/>
        </w:rPr>
        <w:t>)</w:t>
      </w:r>
      <w:r w:rsidRPr="000A4F7D">
        <w:rPr>
          <w:rFonts w:ascii="Times New Roman" w:eastAsia="標楷體" w:hAnsi="標楷體" w:cs="Times New Roman"/>
          <w:sz w:val="28"/>
          <w:szCs w:val="28"/>
        </w:rPr>
        <w:t>。全國分北、中、南、東、外島六區，分別取樣於基隆市、台北縣、彰化縣、台南縣、台東縣與馬祖之「社區整合式健康篩檢」，共計檢查</w:t>
      </w:r>
      <w:r w:rsidRPr="000A4F7D">
        <w:rPr>
          <w:rFonts w:ascii="Times New Roman" w:eastAsia="標楷體" w:hAnsi="Times New Roman" w:cs="Times New Roman"/>
          <w:sz w:val="28"/>
          <w:szCs w:val="28"/>
        </w:rPr>
        <w:t>4,061</w:t>
      </w:r>
      <w:r w:rsidRPr="000A4F7D">
        <w:rPr>
          <w:rFonts w:ascii="Times New Roman" w:eastAsia="標楷體" w:hAnsi="標楷體" w:cs="Times New Roman"/>
          <w:sz w:val="28"/>
          <w:szCs w:val="28"/>
        </w:rPr>
        <w:t>名。發現</w:t>
      </w:r>
      <w:r w:rsidRPr="000A4F7D">
        <w:rPr>
          <w:rFonts w:ascii="Times New Roman" w:eastAsia="標楷體" w:hAnsi="Times New Roman" w:cs="Times New Roman"/>
          <w:sz w:val="28"/>
          <w:szCs w:val="28"/>
        </w:rPr>
        <w:t>99.2%</w:t>
      </w:r>
      <w:r w:rsidRPr="000A4F7D">
        <w:rPr>
          <w:rFonts w:ascii="Times New Roman" w:eastAsia="標楷體" w:hAnsi="標楷體" w:cs="Times New Roman"/>
          <w:sz w:val="28"/>
          <w:szCs w:val="28"/>
        </w:rPr>
        <w:t>的成人有不等程度之牙周病。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其中有囊袋</w:t>
      </w:r>
      <w:proofErr w:type="gramEnd"/>
      <w:r w:rsidRPr="000A4F7D">
        <w:rPr>
          <w:rFonts w:ascii="Times New Roman" w:eastAsia="標楷體" w:hAnsi="標楷體" w:cs="Times New Roman"/>
          <w:sz w:val="28"/>
          <w:szCs w:val="28"/>
        </w:rPr>
        <w:t>者隨年齡而增加，在</w:t>
      </w:r>
      <w:r w:rsidRPr="000A4F7D">
        <w:rPr>
          <w:rFonts w:ascii="Times New Roman" w:eastAsia="標楷體" w:hAnsi="Times New Roman" w:cs="Times New Roman"/>
          <w:sz w:val="28"/>
          <w:szCs w:val="28"/>
        </w:rPr>
        <w:t>18-24</w:t>
      </w:r>
      <w:r w:rsidRPr="000A4F7D">
        <w:rPr>
          <w:rFonts w:ascii="Times New Roman" w:eastAsia="標楷體" w:hAnsi="標楷體" w:cs="Times New Roman"/>
          <w:sz w:val="28"/>
          <w:szCs w:val="28"/>
        </w:rPr>
        <w:t>歲年齡層已有</w:t>
      </w:r>
      <w:r w:rsidRPr="000A4F7D">
        <w:rPr>
          <w:rFonts w:ascii="Times New Roman" w:eastAsia="標楷體" w:hAnsi="Times New Roman" w:cs="Times New Roman"/>
          <w:sz w:val="28"/>
          <w:szCs w:val="28"/>
        </w:rPr>
        <w:t>22%</w:t>
      </w:r>
      <w:r w:rsidRPr="000A4F7D">
        <w:rPr>
          <w:rFonts w:ascii="Times New Roman" w:eastAsia="標楷體" w:hAnsi="標楷體" w:cs="Times New Roman"/>
          <w:sz w:val="28"/>
          <w:szCs w:val="28"/>
        </w:rPr>
        <w:t>，</w:t>
      </w:r>
      <w:r w:rsidRPr="000A4F7D">
        <w:rPr>
          <w:rFonts w:ascii="Times New Roman" w:eastAsia="標楷體" w:hAnsi="Times New Roman" w:cs="Times New Roman"/>
          <w:sz w:val="28"/>
          <w:szCs w:val="28"/>
        </w:rPr>
        <w:t>35-44</w:t>
      </w:r>
      <w:r w:rsidRPr="000A4F7D">
        <w:rPr>
          <w:rFonts w:ascii="Times New Roman" w:eastAsia="標楷體" w:hAnsi="標楷體" w:cs="Times New Roman"/>
          <w:sz w:val="28"/>
          <w:szCs w:val="28"/>
        </w:rPr>
        <w:t>歲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年齡層達</w:t>
      </w:r>
      <w:proofErr w:type="gramEnd"/>
      <w:r w:rsidRPr="000A4F7D">
        <w:rPr>
          <w:rFonts w:ascii="Times New Roman" w:eastAsia="標楷體" w:hAnsi="Times New Roman" w:cs="Times New Roman"/>
          <w:sz w:val="28"/>
          <w:szCs w:val="28"/>
        </w:rPr>
        <w:t>53%</w:t>
      </w:r>
      <w:r w:rsidRPr="000A4F7D">
        <w:rPr>
          <w:rFonts w:ascii="Times New Roman" w:eastAsia="標楷體" w:hAnsi="標楷體" w:cs="Times New Roman"/>
          <w:sz w:val="28"/>
          <w:szCs w:val="28"/>
        </w:rPr>
        <w:t>，</w:t>
      </w:r>
      <w:r w:rsidRPr="000A4F7D">
        <w:rPr>
          <w:rFonts w:ascii="Times New Roman" w:eastAsia="標楷體" w:hAnsi="Times New Roman" w:cs="Times New Roman"/>
          <w:sz w:val="28"/>
          <w:szCs w:val="28"/>
        </w:rPr>
        <w:t>65-74</w:t>
      </w:r>
      <w:r w:rsidRPr="000A4F7D">
        <w:rPr>
          <w:rFonts w:ascii="Times New Roman" w:eastAsia="標楷體" w:hAnsi="標楷體" w:cs="Times New Roman"/>
          <w:sz w:val="28"/>
          <w:szCs w:val="28"/>
        </w:rPr>
        <w:t>歲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年齡層增至</w:t>
      </w:r>
      <w:proofErr w:type="gramEnd"/>
      <w:r w:rsidRPr="000A4F7D">
        <w:rPr>
          <w:rFonts w:ascii="Times New Roman" w:eastAsia="標楷體" w:hAnsi="Times New Roman" w:cs="Times New Roman"/>
          <w:sz w:val="28"/>
          <w:szCs w:val="28"/>
        </w:rPr>
        <w:t>73%</w:t>
      </w:r>
      <w:r w:rsidRPr="000A4F7D">
        <w:rPr>
          <w:rFonts w:ascii="Times New Roman" w:eastAsia="標楷體" w:hAnsi="標楷體" w:cs="Times New Roman"/>
          <w:sz w:val="28"/>
          <w:szCs w:val="28"/>
        </w:rPr>
        <w:t>；整體平均</w:t>
      </w:r>
      <w:r w:rsidRPr="000A4F7D">
        <w:rPr>
          <w:rFonts w:ascii="Times New Roman" w:eastAsia="標楷體" w:hAnsi="Times New Roman" w:cs="Times New Roman"/>
          <w:sz w:val="28"/>
          <w:szCs w:val="28"/>
        </w:rPr>
        <w:t>54%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有囊袋</w:t>
      </w:r>
      <w:proofErr w:type="gramEnd"/>
      <w:r w:rsidRPr="000A4F7D">
        <w:rPr>
          <w:rFonts w:ascii="Times New Roman" w:eastAsia="標楷體" w:hAnsi="標楷體" w:cs="Times New Roman"/>
          <w:sz w:val="28"/>
          <w:szCs w:val="28"/>
        </w:rPr>
        <w:t>。</w:t>
      </w:r>
      <w:r w:rsidRPr="000A4F7D">
        <w:rPr>
          <w:rFonts w:ascii="Times New Roman" w:eastAsia="標楷體" w:hAnsi="Times New Roman" w:cs="Times New Roman"/>
          <w:sz w:val="28"/>
          <w:szCs w:val="28"/>
        </w:rPr>
        <w:t>2008</w:t>
      </w:r>
      <w:r w:rsidRPr="000A4F7D">
        <w:rPr>
          <w:rFonts w:ascii="Times New Roman" w:eastAsia="標楷體" w:hAnsi="標楷體" w:cs="Times New Roman"/>
          <w:sz w:val="28"/>
          <w:szCs w:val="28"/>
        </w:rPr>
        <w:t>年</w:t>
      </w:r>
      <w:r w:rsidRPr="000A4F7D">
        <w:rPr>
          <w:rFonts w:ascii="Times New Roman" w:eastAsia="標楷體" w:hAnsi="Times New Roman" w:cs="Times New Roman"/>
          <w:sz w:val="28"/>
          <w:szCs w:val="28"/>
        </w:rPr>
        <w:t>18</w:t>
      </w:r>
      <w:r w:rsidRPr="000A4F7D">
        <w:rPr>
          <w:rFonts w:ascii="Times New Roman" w:eastAsia="標楷體" w:hAnsi="標楷體" w:cs="Times New Roman"/>
          <w:sz w:val="28"/>
          <w:szCs w:val="28"/>
        </w:rPr>
        <w:t>歲以上人口為</w:t>
      </w:r>
      <w:r w:rsidRPr="000A4F7D">
        <w:rPr>
          <w:rFonts w:ascii="Times New Roman" w:eastAsia="標楷體" w:hAnsi="Times New Roman" w:cs="Times New Roman"/>
          <w:sz w:val="28"/>
          <w:szCs w:val="28"/>
        </w:rPr>
        <w:t>1,800</w:t>
      </w:r>
      <w:r w:rsidRPr="000A4F7D">
        <w:rPr>
          <w:rFonts w:ascii="Times New Roman" w:eastAsia="標楷體" w:hAnsi="標楷體" w:cs="Times New Roman"/>
          <w:sz w:val="28"/>
          <w:szCs w:val="28"/>
        </w:rPr>
        <w:t>萬，即</w:t>
      </w:r>
      <w:r w:rsidRPr="000A4F7D">
        <w:rPr>
          <w:rFonts w:ascii="Times New Roman" w:eastAsia="標楷體" w:hAnsi="Times New Roman" w:cs="Times New Roman"/>
          <w:sz w:val="28"/>
          <w:szCs w:val="28"/>
        </w:rPr>
        <w:t>976</w:t>
      </w:r>
      <w:r w:rsidRPr="000A4F7D">
        <w:rPr>
          <w:rFonts w:ascii="Times New Roman" w:eastAsia="標楷體" w:hAnsi="標楷體" w:cs="Times New Roman"/>
          <w:sz w:val="28"/>
          <w:szCs w:val="28"/>
        </w:rPr>
        <w:t>萬成人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有牙周囊</w:t>
      </w:r>
      <w:proofErr w:type="gramEnd"/>
      <w:r w:rsidRPr="000A4F7D">
        <w:rPr>
          <w:rFonts w:ascii="Times New Roman" w:eastAsia="標楷體" w:hAnsi="標楷體" w:cs="Times New Roman"/>
          <w:sz w:val="28"/>
          <w:szCs w:val="28"/>
        </w:rPr>
        <w:t>袋</w:t>
      </w:r>
      <w:r w:rsidRPr="000A4F7D">
        <w:rPr>
          <w:rFonts w:ascii="Times New Roman" w:eastAsia="標楷體" w:hAnsi="Times New Roman" w:cs="Times New Roman"/>
          <w:sz w:val="28"/>
          <w:szCs w:val="28"/>
        </w:rPr>
        <w:t>(needs)</w:t>
      </w:r>
      <w:r w:rsidRPr="000A4F7D">
        <w:rPr>
          <w:rFonts w:ascii="Times New Roman" w:eastAsia="標楷體" w:hAnsi="標楷體" w:cs="Times New Roman"/>
          <w:sz w:val="28"/>
          <w:szCs w:val="28"/>
        </w:rPr>
        <w:t>。</w:t>
      </w:r>
    </w:p>
    <w:p w:rsidR="004B754E" w:rsidRPr="000A4F7D" w:rsidRDefault="004B754E" w:rsidP="000A4F7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0A4F7D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Pr="000A4F7D">
        <w:rPr>
          <w:rFonts w:ascii="Times New Roman" w:eastAsia="標楷體" w:hAnsi="標楷體" w:cs="Times New Roman"/>
          <w:sz w:val="28"/>
          <w:szCs w:val="28"/>
        </w:rPr>
        <w:t>民眾之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認知與潔牙</w:t>
      </w:r>
      <w:proofErr w:type="gramEnd"/>
      <w:r w:rsidRPr="000A4F7D">
        <w:rPr>
          <w:rFonts w:ascii="Times New Roman" w:eastAsia="標楷體" w:hAnsi="標楷體" w:cs="Times New Roman"/>
          <w:sz w:val="28"/>
          <w:szCs w:val="28"/>
        </w:rPr>
        <w:t>習慣</w:t>
      </w:r>
    </w:p>
    <w:p w:rsidR="004B754E" w:rsidRPr="000A4F7D" w:rsidRDefault="004B754E" w:rsidP="000A4F7D">
      <w:pPr>
        <w:spacing w:line="400" w:lineRule="exact"/>
        <w:ind w:leftChars="118" w:left="283" w:firstLine="1"/>
        <w:rPr>
          <w:rFonts w:ascii="Times New Roman" w:eastAsia="標楷體" w:hAnsi="Times New Roman" w:cs="Times New Roman"/>
          <w:sz w:val="28"/>
          <w:szCs w:val="28"/>
        </w:rPr>
      </w:pPr>
      <w:r w:rsidRPr="000A4F7D">
        <w:rPr>
          <w:rFonts w:ascii="Times New Roman" w:eastAsia="標楷體" w:hAnsi="標楷體" w:cs="Times New Roman"/>
          <w:sz w:val="28"/>
          <w:szCs w:val="28"/>
        </w:rPr>
        <w:t>同一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調查發縣</w:t>
      </w:r>
      <w:proofErr w:type="gramEnd"/>
      <w:r w:rsidRPr="000A4F7D">
        <w:rPr>
          <w:rFonts w:ascii="Times New Roman" w:eastAsia="標楷體" w:hAnsi="Times New Roman" w:cs="Times New Roman"/>
          <w:sz w:val="28"/>
          <w:szCs w:val="28"/>
        </w:rPr>
        <w:t>83.8%</w:t>
      </w:r>
      <w:r w:rsidRPr="000A4F7D">
        <w:rPr>
          <w:rFonts w:ascii="Times New Roman" w:eastAsia="標楷體" w:hAnsi="標楷體" w:cs="Times New Roman"/>
          <w:sz w:val="28"/>
          <w:szCs w:val="28"/>
        </w:rPr>
        <w:t>之民眾聽過「牙周病」，只有</w:t>
      </w:r>
      <w:r w:rsidRPr="000A4F7D">
        <w:rPr>
          <w:rFonts w:ascii="Times New Roman" w:eastAsia="標楷體" w:hAnsi="Times New Roman" w:cs="Times New Roman"/>
          <w:sz w:val="28"/>
          <w:szCs w:val="28"/>
        </w:rPr>
        <w:t>28.7%</w:t>
      </w:r>
      <w:r w:rsidRPr="000A4F7D">
        <w:rPr>
          <w:rFonts w:ascii="Times New Roman" w:eastAsia="標楷體" w:hAnsi="標楷體" w:cs="Times New Roman"/>
          <w:sz w:val="28"/>
          <w:szCs w:val="28"/>
        </w:rPr>
        <w:t>認為自己有牙周病。有每天刷牙者高達</w:t>
      </w:r>
      <w:r w:rsidRPr="000A4F7D">
        <w:rPr>
          <w:rFonts w:ascii="Times New Roman" w:eastAsia="標楷體" w:hAnsi="Times New Roman" w:cs="Times New Roman"/>
          <w:sz w:val="28"/>
          <w:szCs w:val="28"/>
        </w:rPr>
        <w:t>99.3%</w:t>
      </w:r>
      <w:r w:rsidRPr="000A4F7D">
        <w:rPr>
          <w:rFonts w:ascii="Times New Roman" w:eastAsia="標楷體" w:hAnsi="標楷體" w:cs="Times New Roman"/>
          <w:sz w:val="28"/>
          <w:szCs w:val="28"/>
        </w:rPr>
        <w:t>，有用過牙線</w:t>
      </w:r>
      <w:r w:rsidRPr="000A4F7D">
        <w:rPr>
          <w:rFonts w:ascii="Times New Roman" w:eastAsia="標楷體" w:hAnsi="Times New Roman" w:cs="Times New Roman"/>
          <w:sz w:val="28"/>
          <w:szCs w:val="28"/>
        </w:rPr>
        <w:t>(</w:t>
      </w:r>
      <w:r w:rsidRPr="000A4F7D">
        <w:rPr>
          <w:rFonts w:ascii="Times New Roman" w:eastAsia="標楷體" w:hAnsi="標楷體" w:cs="Times New Roman"/>
          <w:sz w:val="28"/>
          <w:szCs w:val="28"/>
        </w:rPr>
        <w:t>含牙線棒</w:t>
      </w:r>
      <w:r w:rsidRPr="000A4F7D">
        <w:rPr>
          <w:rFonts w:ascii="Times New Roman" w:eastAsia="標楷體" w:hAnsi="Times New Roman" w:cs="Times New Roman"/>
          <w:sz w:val="28"/>
          <w:szCs w:val="28"/>
        </w:rPr>
        <w:t>)</w:t>
      </w:r>
      <w:r w:rsidRPr="000A4F7D">
        <w:rPr>
          <w:rFonts w:ascii="Times New Roman" w:eastAsia="標楷體" w:hAnsi="標楷體" w:cs="Times New Roman"/>
          <w:sz w:val="28"/>
          <w:szCs w:val="28"/>
        </w:rPr>
        <w:t>者為</w:t>
      </w:r>
      <w:r w:rsidRPr="000A4F7D">
        <w:rPr>
          <w:rFonts w:ascii="Times New Roman" w:eastAsia="標楷體" w:hAnsi="Times New Roman" w:cs="Times New Roman"/>
          <w:sz w:val="28"/>
          <w:szCs w:val="28"/>
        </w:rPr>
        <w:t xml:space="preserve">62.5% </w:t>
      </w:r>
      <w:r w:rsidRPr="000A4F7D">
        <w:rPr>
          <w:rFonts w:ascii="Times New Roman" w:eastAsia="標楷體" w:hAnsi="標楷體" w:cs="Times New Roman"/>
          <w:sz w:val="28"/>
          <w:szCs w:val="28"/>
        </w:rPr>
        <w:t>，但主要為牙線者僅</w:t>
      </w:r>
      <w:r w:rsidRPr="000A4F7D">
        <w:rPr>
          <w:rFonts w:ascii="Times New Roman" w:eastAsia="標楷體" w:hAnsi="Times New Roman" w:cs="Times New Roman"/>
          <w:sz w:val="28"/>
          <w:szCs w:val="28"/>
        </w:rPr>
        <w:t>10.5%</w:t>
      </w:r>
      <w:r w:rsidRPr="000A4F7D">
        <w:rPr>
          <w:rFonts w:ascii="Times New Roman" w:eastAsia="標楷體" w:hAnsi="標楷體" w:cs="Times New Roman"/>
          <w:sz w:val="28"/>
          <w:szCs w:val="28"/>
        </w:rPr>
        <w:t>。推估有每天使用雙手操作牙線者不到</w:t>
      </w:r>
      <w:r w:rsidRPr="000A4F7D">
        <w:rPr>
          <w:rFonts w:ascii="Times New Roman" w:eastAsia="標楷體" w:hAnsi="Times New Roman" w:cs="Times New Roman"/>
          <w:sz w:val="28"/>
          <w:szCs w:val="28"/>
        </w:rPr>
        <w:t>10%</w:t>
      </w:r>
      <w:r w:rsidRPr="000A4F7D">
        <w:rPr>
          <w:rFonts w:ascii="Times New Roman" w:eastAsia="標楷體" w:hAnsi="標楷體" w:cs="Times New Roman"/>
          <w:sz w:val="28"/>
          <w:szCs w:val="28"/>
        </w:rPr>
        <w:t>，牙周病之初級預防明顯不足。</w:t>
      </w:r>
    </w:p>
    <w:p w:rsidR="004B754E" w:rsidRPr="000A4F7D" w:rsidRDefault="004B754E" w:rsidP="000A4F7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0A4F7D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0A4F7D">
        <w:rPr>
          <w:rFonts w:ascii="Times New Roman" w:eastAsia="標楷體" w:hAnsi="標楷體" w:cs="Times New Roman"/>
          <w:sz w:val="28"/>
          <w:szCs w:val="28"/>
        </w:rPr>
        <w:t>台灣之健保</w:t>
      </w:r>
    </w:p>
    <w:p w:rsidR="004B754E" w:rsidRPr="000A4F7D" w:rsidRDefault="004B754E" w:rsidP="000A4F7D">
      <w:pPr>
        <w:spacing w:line="400" w:lineRule="exact"/>
        <w:ind w:leftChars="117" w:left="282" w:hanging="1"/>
        <w:rPr>
          <w:rFonts w:ascii="Times New Roman" w:eastAsia="標楷體" w:hAnsi="Times New Roman" w:cs="Times New Roman"/>
          <w:sz w:val="28"/>
          <w:szCs w:val="28"/>
        </w:rPr>
      </w:pPr>
      <w:r w:rsidRPr="000A4F7D">
        <w:rPr>
          <w:rFonts w:ascii="Times New Roman" w:eastAsia="標楷體" w:hAnsi="Times New Roman" w:cs="Times New Roman"/>
          <w:sz w:val="28"/>
          <w:szCs w:val="28"/>
        </w:rPr>
        <w:t>2008</w:t>
      </w:r>
      <w:r w:rsidRPr="000A4F7D">
        <w:rPr>
          <w:rFonts w:ascii="Times New Roman" w:eastAsia="標楷體" w:hAnsi="標楷體" w:cs="Times New Roman"/>
          <w:sz w:val="28"/>
          <w:szCs w:val="28"/>
        </w:rPr>
        <w:t>年年台灣健保資料顯示，只有</w:t>
      </w:r>
      <w:r w:rsidRPr="000A4F7D">
        <w:rPr>
          <w:rFonts w:ascii="Times New Roman" w:eastAsia="標楷體" w:hAnsi="Times New Roman" w:cs="Times New Roman"/>
          <w:sz w:val="28"/>
          <w:szCs w:val="28"/>
        </w:rPr>
        <w:t>5,136</w:t>
      </w:r>
      <w:r w:rsidRPr="000A4F7D">
        <w:rPr>
          <w:rFonts w:ascii="Times New Roman" w:eastAsia="標楷體" w:hAnsi="標楷體" w:cs="Times New Roman"/>
          <w:sz w:val="28"/>
          <w:szCs w:val="28"/>
        </w:rPr>
        <w:t>人接受過全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口根面整</w:t>
      </w:r>
      <w:proofErr w:type="gramEnd"/>
      <w:r w:rsidRPr="000A4F7D">
        <w:rPr>
          <w:rFonts w:ascii="Times New Roman" w:eastAsia="標楷體" w:hAnsi="標楷體" w:cs="Times New Roman"/>
          <w:sz w:val="28"/>
          <w:szCs w:val="28"/>
        </w:rPr>
        <w:t>平，即便把局部</w:t>
      </w:r>
      <w:proofErr w:type="gramStart"/>
      <w:r w:rsidRPr="000A4F7D">
        <w:rPr>
          <w:rFonts w:ascii="Times New Roman" w:eastAsia="標楷體" w:hAnsi="標楷體" w:cs="Times New Roman"/>
          <w:sz w:val="28"/>
          <w:szCs w:val="28"/>
        </w:rPr>
        <w:t>根面整</w:t>
      </w:r>
      <w:proofErr w:type="gramEnd"/>
      <w:r w:rsidRPr="000A4F7D">
        <w:rPr>
          <w:rFonts w:ascii="Times New Roman" w:eastAsia="標楷體" w:hAnsi="標楷體" w:cs="Times New Roman"/>
          <w:sz w:val="28"/>
          <w:szCs w:val="28"/>
        </w:rPr>
        <w:t>平也納入，也只有</w:t>
      </w:r>
      <w:r w:rsidRPr="000A4F7D">
        <w:rPr>
          <w:rFonts w:ascii="Times New Roman" w:eastAsia="標楷體" w:hAnsi="Times New Roman" w:cs="Times New Roman"/>
          <w:sz w:val="28"/>
          <w:szCs w:val="28"/>
        </w:rPr>
        <w:t>175,402</w:t>
      </w:r>
      <w:r w:rsidRPr="000A4F7D">
        <w:rPr>
          <w:rFonts w:ascii="Times New Roman" w:eastAsia="標楷體" w:hAnsi="標楷體" w:cs="Times New Roman"/>
          <w:sz w:val="28"/>
          <w:szCs w:val="28"/>
        </w:rPr>
        <w:t>人</w:t>
      </w:r>
      <w:r w:rsidR="0080173E" w:rsidRPr="000A4F7D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0A4F7D">
        <w:rPr>
          <w:rFonts w:ascii="Times New Roman" w:eastAsia="標楷體" w:hAnsi="Times New Roman" w:cs="Times New Roman"/>
          <w:sz w:val="28"/>
          <w:szCs w:val="28"/>
        </w:rPr>
        <w:t>(demands)</w:t>
      </w:r>
      <w:r w:rsidRPr="000A4F7D">
        <w:rPr>
          <w:rFonts w:ascii="Times New Roman" w:eastAsia="標楷體" w:hAnsi="標楷體" w:cs="Times New Roman"/>
          <w:sz w:val="28"/>
          <w:szCs w:val="28"/>
        </w:rPr>
        <w:t>，占</w:t>
      </w:r>
      <w:r w:rsidRPr="000A4F7D">
        <w:rPr>
          <w:rFonts w:ascii="Times New Roman" w:eastAsia="標楷體" w:hAnsi="Times New Roman" w:cs="Times New Roman"/>
          <w:sz w:val="28"/>
          <w:szCs w:val="28"/>
        </w:rPr>
        <w:t>needs</w:t>
      </w:r>
      <w:r w:rsidRPr="000A4F7D">
        <w:rPr>
          <w:rFonts w:ascii="Times New Roman" w:eastAsia="標楷體" w:hAnsi="標楷體" w:cs="Times New Roman"/>
          <w:sz w:val="28"/>
          <w:szCs w:val="28"/>
        </w:rPr>
        <w:t>之</w:t>
      </w:r>
      <w:r w:rsidRPr="000A4F7D">
        <w:rPr>
          <w:rFonts w:ascii="Times New Roman" w:eastAsia="標楷體" w:hAnsi="Times New Roman" w:cs="Times New Roman"/>
          <w:sz w:val="28"/>
          <w:szCs w:val="28"/>
        </w:rPr>
        <w:t>1.7%</w:t>
      </w:r>
      <w:r w:rsidRPr="000A4F7D">
        <w:rPr>
          <w:rFonts w:ascii="Times New Roman" w:eastAsia="標楷體" w:hAnsi="標楷體" w:cs="Times New Roman"/>
          <w:sz w:val="28"/>
          <w:szCs w:val="28"/>
        </w:rPr>
        <w:t>。</w:t>
      </w:r>
    </w:p>
    <w:p w:rsidR="004B754E" w:rsidRPr="000A4F7D" w:rsidRDefault="004B754E" w:rsidP="000A4F7D">
      <w:pPr>
        <w:spacing w:line="400" w:lineRule="exact"/>
        <w:ind w:leftChars="117" w:left="284" w:hangingChars="1" w:hanging="3"/>
        <w:rPr>
          <w:rFonts w:ascii="Times New Roman" w:eastAsia="標楷體" w:hAnsi="Times New Roman" w:cs="Times New Roman"/>
          <w:sz w:val="28"/>
          <w:szCs w:val="28"/>
        </w:rPr>
      </w:pPr>
      <w:r w:rsidRPr="000A4F7D">
        <w:rPr>
          <w:rFonts w:ascii="Times New Roman" w:eastAsia="標楷體" w:hAnsi="標楷體" w:cs="Times New Roman"/>
          <w:sz w:val="28"/>
          <w:szCs w:val="28"/>
        </w:rPr>
        <w:t>自</w:t>
      </w:r>
      <w:r w:rsidRPr="000A4F7D">
        <w:rPr>
          <w:rFonts w:ascii="Times New Roman" w:eastAsia="標楷體" w:hAnsi="Times New Roman" w:cs="Times New Roman"/>
          <w:sz w:val="28"/>
          <w:szCs w:val="28"/>
        </w:rPr>
        <w:t>2010</w:t>
      </w:r>
      <w:r w:rsidRPr="000A4F7D">
        <w:rPr>
          <w:rFonts w:ascii="Times New Roman" w:eastAsia="標楷體" w:hAnsi="標楷體" w:cs="Times New Roman"/>
          <w:sz w:val="28"/>
          <w:szCs w:val="28"/>
        </w:rPr>
        <w:t>年開始，健保一年加撥四億台幣，加上牙科之其它配合款，總金額約五億，開辦</w:t>
      </w:r>
      <w:r w:rsidRPr="000A4F7D">
        <w:rPr>
          <w:rFonts w:ascii="Times New Roman" w:eastAsia="標楷體" w:hAnsi="Times New Roman" w:cs="Times New Roman"/>
          <w:sz w:val="28"/>
          <w:szCs w:val="28"/>
        </w:rPr>
        <w:t>“</w:t>
      </w:r>
      <w:r w:rsidRPr="000A4F7D">
        <w:rPr>
          <w:rFonts w:ascii="Times New Roman" w:eastAsia="標楷體" w:hAnsi="標楷體" w:cs="Times New Roman"/>
          <w:sz w:val="28"/>
          <w:szCs w:val="28"/>
        </w:rPr>
        <w:t>牙周病統合治療</w:t>
      </w:r>
      <w:r w:rsidRPr="000A4F7D">
        <w:rPr>
          <w:rFonts w:ascii="Times New Roman" w:eastAsia="標楷體" w:hAnsi="Times New Roman" w:cs="Times New Roman"/>
          <w:sz w:val="28"/>
          <w:szCs w:val="28"/>
        </w:rPr>
        <w:t>”</w:t>
      </w:r>
      <w:r w:rsidRPr="000A4F7D">
        <w:rPr>
          <w:rFonts w:ascii="Times New Roman" w:eastAsia="標楷體" w:hAnsi="標楷體" w:cs="Times New Roman"/>
          <w:sz w:val="28"/>
          <w:szCs w:val="28"/>
        </w:rPr>
        <w:t>，以提昇牙醫師之治療意願。它大幅提高牙周病基本治療之支付至</w:t>
      </w:r>
      <w:r w:rsidRPr="000A4F7D">
        <w:rPr>
          <w:rFonts w:ascii="Times New Roman" w:eastAsia="標楷體" w:hAnsi="Times New Roman" w:cs="Times New Roman"/>
          <w:sz w:val="28"/>
          <w:szCs w:val="28"/>
        </w:rPr>
        <w:t>10,000</w:t>
      </w:r>
      <w:r w:rsidRPr="000A4F7D">
        <w:rPr>
          <w:rFonts w:ascii="Times New Roman" w:eastAsia="標楷體" w:hAnsi="標楷體" w:cs="Times New Roman"/>
          <w:sz w:val="28"/>
          <w:szCs w:val="28"/>
        </w:rPr>
        <w:t>點，預計每年完成五萬病例，離需要</w:t>
      </w:r>
      <w:r w:rsidRPr="000A4F7D">
        <w:rPr>
          <w:rFonts w:ascii="Times New Roman" w:eastAsia="標楷體" w:hAnsi="Times New Roman" w:cs="Times New Roman"/>
          <w:sz w:val="28"/>
          <w:szCs w:val="28"/>
        </w:rPr>
        <w:t>(needs)</w:t>
      </w:r>
      <w:r w:rsidRPr="000A4F7D">
        <w:rPr>
          <w:rFonts w:ascii="Times New Roman" w:eastAsia="標楷體" w:hAnsi="標楷體" w:cs="Times New Roman"/>
          <w:sz w:val="28"/>
          <w:szCs w:val="28"/>
        </w:rPr>
        <w:t>甚遠。</w:t>
      </w:r>
    </w:p>
    <w:p w:rsidR="00734A9D" w:rsidRPr="000A4F7D" w:rsidRDefault="004B754E" w:rsidP="000A4F7D">
      <w:pPr>
        <w:spacing w:line="400" w:lineRule="exact"/>
        <w:ind w:left="330" w:hangingChars="118" w:hanging="330"/>
        <w:rPr>
          <w:rFonts w:ascii="Times New Roman" w:eastAsia="標楷體" w:hAnsi="標楷體" w:cs="Times New Roman"/>
          <w:sz w:val="28"/>
          <w:szCs w:val="28"/>
        </w:rPr>
      </w:pPr>
      <w:r w:rsidRPr="000A4F7D">
        <w:rPr>
          <w:rFonts w:ascii="Times New Roman" w:eastAsia="標楷體" w:hAnsi="Times New Roman" w:cs="Times New Roman"/>
          <w:sz w:val="28"/>
          <w:szCs w:val="28"/>
        </w:rPr>
        <w:t xml:space="preserve">4. </w:t>
      </w:r>
      <w:r w:rsidRPr="000A4F7D">
        <w:rPr>
          <w:rFonts w:ascii="Times New Roman" w:eastAsia="標楷體" w:hAnsi="標楷體" w:cs="Times New Roman"/>
          <w:sz w:val="28"/>
          <w:szCs w:val="28"/>
        </w:rPr>
        <w:t>隨著台灣人口之老化，牙周治療之</w:t>
      </w:r>
      <w:r w:rsidRPr="000A4F7D">
        <w:rPr>
          <w:rFonts w:ascii="Times New Roman" w:eastAsia="標楷體" w:hAnsi="Times New Roman" w:cs="Times New Roman"/>
          <w:sz w:val="28"/>
          <w:szCs w:val="28"/>
        </w:rPr>
        <w:t>needs</w:t>
      </w:r>
      <w:r w:rsidRPr="000A4F7D">
        <w:rPr>
          <w:rFonts w:ascii="Times New Roman" w:eastAsia="標楷體" w:hAnsi="標楷體" w:cs="Times New Roman"/>
          <w:sz w:val="28"/>
          <w:szCs w:val="28"/>
        </w:rPr>
        <w:t>快速增加，供給面卻不見增加，問題更會複雜。</w:t>
      </w:r>
      <w:r w:rsidR="00734A9D" w:rsidRPr="000A4F7D">
        <w:rPr>
          <w:rFonts w:ascii="Times New Roman" w:eastAsia="標楷體" w:hAnsi="標楷體" w:cs="Times New Roman" w:hint="eastAsia"/>
          <w:sz w:val="28"/>
          <w:szCs w:val="28"/>
        </w:rPr>
        <w:t>由上可知，光靠治療層面不足以解決台灣的牙周問題，尚須從預防層面著手。幾乎全民都需口腔衛生教育，牙線與刷牙之衛教之</w:t>
      </w:r>
      <w:r w:rsidR="00734A9D" w:rsidRPr="000A4F7D">
        <w:rPr>
          <w:rFonts w:ascii="Times New Roman" w:eastAsia="標楷體" w:hAnsi="標楷體" w:cs="Times New Roman" w:hint="eastAsia"/>
          <w:sz w:val="28"/>
          <w:szCs w:val="28"/>
        </w:rPr>
        <w:t>needs</w:t>
      </w:r>
      <w:r w:rsidR="00734A9D" w:rsidRPr="000A4F7D">
        <w:rPr>
          <w:rFonts w:ascii="Times New Roman" w:eastAsia="標楷體" w:hAnsi="標楷體" w:cs="Times New Roman" w:hint="eastAsia"/>
          <w:sz w:val="28"/>
          <w:szCs w:val="28"/>
        </w:rPr>
        <w:t>如此龐大，目前看不到有足夠之資源可勝任。因此牙周病之防治，已升高至公共衛生之層級，如沒有有效且整體之措施，牙周病對國人一定是大災難。但目前我們看不到相關單位或團體對此危機有可行之長期</w:t>
      </w:r>
      <w:proofErr w:type="gramStart"/>
      <w:r w:rsidR="00734A9D" w:rsidRPr="000A4F7D">
        <w:rPr>
          <w:rFonts w:ascii="Times New Roman" w:eastAsia="標楷體" w:hAnsi="標楷體" w:cs="Times New Roman" w:hint="eastAsia"/>
          <w:sz w:val="28"/>
          <w:szCs w:val="28"/>
        </w:rPr>
        <w:t>規</w:t>
      </w:r>
      <w:proofErr w:type="gramEnd"/>
      <w:r w:rsidR="00734A9D" w:rsidRPr="000A4F7D">
        <w:rPr>
          <w:rFonts w:ascii="Times New Roman" w:eastAsia="標楷體" w:hAnsi="標楷體" w:cs="Times New Roman" w:hint="eastAsia"/>
          <w:sz w:val="28"/>
          <w:szCs w:val="28"/>
        </w:rPr>
        <w:t>畫。</w:t>
      </w:r>
    </w:p>
    <w:p w:rsidR="000A4F7D" w:rsidRDefault="000A4F7D" w:rsidP="000A4F7D">
      <w:pPr>
        <w:spacing w:line="400" w:lineRule="exact"/>
        <w:ind w:left="330" w:hangingChars="118" w:hanging="330"/>
        <w:rPr>
          <w:rFonts w:ascii="Times New Roman" w:eastAsia="標楷體" w:hAnsi="標楷體" w:cs="Times New Roman" w:hint="eastAsia"/>
          <w:sz w:val="28"/>
          <w:szCs w:val="28"/>
        </w:rPr>
      </w:pPr>
    </w:p>
    <w:p w:rsidR="004B754E" w:rsidRPr="000A4F7D" w:rsidRDefault="004B754E" w:rsidP="000A4F7D">
      <w:pPr>
        <w:spacing w:line="400" w:lineRule="exact"/>
        <w:ind w:left="330" w:hangingChars="118" w:hanging="330"/>
        <w:rPr>
          <w:rFonts w:ascii="Times New Roman" w:eastAsia="標楷體" w:hAnsi="Times New Roman" w:cs="Times New Roman"/>
          <w:sz w:val="28"/>
          <w:szCs w:val="28"/>
        </w:rPr>
      </w:pPr>
      <w:r w:rsidRPr="000A4F7D">
        <w:rPr>
          <w:rFonts w:ascii="Times New Roman" w:eastAsia="標楷體" w:hAnsi="標楷體" w:cs="Times New Roman"/>
          <w:sz w:val="28"/>
          <w:szCs w:val="28"/>
        </w:rPr>
        <w:t>二、</w:t>
      </w:r>
      <w:r w:rsidR="0080173E" w:rsidRPr="000A4F7D">
        <w:rPr>
          <w:rFonts w:ascii="Times New Roman" w:eastAsia="標楷體" w:hAnsi="標楷體" w:cs="Times New Roman"/>
          <w:sz w:val="28"/>
          <w:szCs w:val="28"/>
        </w:rPr>
        <w:t>目的</w:t>
      </w:r>
    </w:p>
    <w:p w:rsidR="00734A9D" w:rsidRPr="000A4F7D" w:rsidRDefault="0080173E" w:rsidP="000A4F7D">
      <w:pPr>
        <w:spacing w:line="400" w:lineRule="exact"/>
        <w:ind w:left="330" w:hangingChars="118" w:hanging="330"/>
        <w:rPr>
          <w:rFonts w:ascii="Times New Roman" w:eastAsia="標楷體" w:hAnsi="標楷體" w:cs="Times New Roman"/>
          <w:sz w:val="28"/>
          <w:szCs w:val="28"/>
        </w:rPr>
      </w:pPr>
      <w:r w:rsidRPr="000A4F7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A4F7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A4F7D" w:rsidRPr="000A4F7D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0A4F7D">
        <w:rPr>
          <w:rFonts w:ascii="Times New Roman" w:eastAsia="標楷體" w:hAnsi="標楷體" w:cs="Times New Roman"/>
          <w:sz w:val="28"/>
          <w:szCs w:val="28"/>
        </w:rPr>
        <w:t>會為國內最大且最有具代表性之</w:t>
      </w:r>
      <w:r w:rsidR="00734A9D" w:rsidRPr="000A4F7D">
        <w:rPr>
          <w:rFonts w:ascii="Times New Roman" w:eastAsia="標楷體" w:hAnsi="標楷體" w:cs="Times New Roman"/>
          <w:sz w:val="28"/>
          <w:szCs w:val="28"/>
        </w:rPr>
        <w:t>牙醫</w:t>
      </w:r>
      <w:r w:rsidRPr="000A4F7D">
        <w:rPr>
          <w:rFonts w:ascii="Times New Roman" w:eastAsia="標楷體" w:hAnsi="標楷體" w:cs="Times New Roman"/>
          <w:sz w:val="28"/>
          <w:szCs w:val="28"/>
        </w:rPr>
        <w:t>團體，</w:t>
      </w:r>
      <w:r w:rsidR="00734A9D" w:rsidRPr="000A4F7D">
        <w:rPr>
          <w:rFonts w:ascii="Times New Roman" w:eastAsia="標楷體" w:hAnsi="標楷體" w:cs="Times New Roman" w:hint="eastAsia"/>
          <w:sz w:val="28"/>
          <w:szCs w:val="28"/>
        </w:rPr>
        <w:t>因此我們藉此研討會來</w:t>
      </w:r>
      <w:r w:rsidR="00734A9D" w:rsidRPr="000A4F7D">
        <w:rPr>
          <w:rFonts w:ascii="Times New Roman" w:eastAsia="標楷體" w:hAnsi="標楷體" w:cs="Times New Roman" w:hint="eastAsia"/>
          <w:sz w:val="28"/>
          <w:szCs w:val="28"/>
        </w:rPr>
        <w:lastRenderedPageBreak/>
        <w:t>凝聚共識，並敦促政府及早規劃與落實。</w:t>
      </w:r>
    </w:p>
    <w:p w:rsidR="000A4F7D" w:rsidRDefault="000A4F7D" w:rsidP="000A4F7D">
      <w:pPr>
        <w:spacing w:line="400" w:lineRule="exact"/>
        <w:ind w:left="330" w:hangingChars="118" w:hanging="330"/>
        <w:rPr>
          <w:rFonts w:ascii="Times New Roman" w:eastAsia="標楷體" w:hAnsi="標楷體" w:cs="Times New Roman" w:hint="eastAsia"/>
          <w:sz w:val="28"/>
          <w:szCs w:val="28"/>
        </w:rPr>
      </w:pPr>
    </w:p>
    <w:p w:rsidR="0080173E" w:rsidRPr="000A4F7D" w:rsidRDefault="0080173E" w:rsidP="000A4F7D">
      <w:pPr>
        <w:spacing w:line="400" w:lineRule="exact"/>
        <w:ind w:left="330" w:hangingChars="118" w:hanging="330"/>
        <w:rPr>
          <w:rFonts w:ascii="Times New Roman" w:eastAsia="標楷體" w:hAnsi="標楷體" w:cs="Times New Roman"/>
          <w:sz w:val="28"/>
          <w:szCs w:val="28"/>
        </w:rPr>
      </w:pPr>
      <w:r w:rsidRPr="000A4F7D">
        <w:rPr>
          <w:rFonts w:ascii="Times New Roman" w:eastAsia="標楷體" w:hAnsi="標楷體" w:cs="Times New Roman"/>
          <w:sz w:val="28"/>
          <w:szCs w:val="28"/>
        </w:rPr>
        <w:t>三、</w:t>
      </w:r>
      <w:r w:rsidR="000A4F7D">
        <w:rPr>
          <w:rFonts w:ascii="Times New Roman" w:eastAsia="標楷體" w:hAnsi="標楷體" w:cs="Times New Roman" w:hint="eastAsia"/>
          <w:sz w:val="28"/>
          <w:szCs w:val="28"/>
        </w:rPr>
        <w:t>與會</w:t>
      </w:r>
      <w:r w:rsidR="000A4F7D" w:rsidRPr="000A4F7D">
        <w:rPr>
          <w:rFonts w:ascii="Times New Roman" w:eastAsia="標楷體" w:hAnsi="標楷體" w:cs="Times New Roman" w:hint="eastAsia"/>
          <w:sz w:val="28"/>
          <w:szCs w:val="28"/>
        </w:rPr>
        <w:t>專家學者代表</w:t>
      </w:r>
    </w:p>
    <w:p w:rsidR="000A4F7D" w:rsidRPr="000A4F7D" w:rsidRDefault="000A4F7D" w:rsidP="000A4F7D">
      <w:pPr>
        <w:spacing w:line="400" w:lineRule="exact"/>
        <w:rPr>
          <w:rFonts w:ascii="Times New Roman" w:eastAsia="標楷體" w:hAnsi="標楷體" w:cs="Times New Roman" w:hint="eastAsia"/>
          <w:sz w:val="28"/>
          <w:szCs w:val="28"/>
        </w:rPr>
      </w:pPr>
      <w:r w:rsidRPr="000A4F7D">
        <w:rPr>
          <w:rFonts w:ascii="Times New Roman" w:eastAsia="標楷體" w:hAnsi="標楷體" w:cs="Times New Roman" w:hint="eastAsia"/>
          <w:sz w:val="28"/>
          <w:szCs w:val="28"/>
        </w:rPr>
        <w:t>1.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主持人：賴弘明醫師</w:t>
      </w:r>
    </w:p>
    <w:p w:rsidR="00850305" w:rsidRPr="000A4F7D" w:rsidRDefault="000A4F7D" w:rsidP="000A4F7D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0A4F7D">
        <w:rPr>
          <w:rFonts w:ascii="Times New Roman" w:eastAsia="標楷體" w:hAnsi="標楷體" w:cs="Times New Roman" w:hint="eastAsia"/>
          <w:sz w:val="28"/>
          <w:szCs w:val="28"/>
        </w:rPr>
        <w:t>2.</w:t>
      </w:r>
      <w:r w:rsidR="00850305" w:rsidRPr="000A4F7D">
        <w:rPr>
          <w:rFonts w:ascii="Times New Roman" w:eastAsia="標楷體" w:hAnsi="標楷體" w:cs="Times New Roman" w:hint="eastAsia"/>
          <w:sz w:val="28"/>
          <w:szCs w:val="28"/>
        </w:rPr>
        <w:t>政策：陳時中顧問</w:t>
      </w:r>
    </w:p>
    <w:p w:rsidR="00850305" w:rsidRPr="000A4F7D" w:rsidRDefault="000A4F7D" w:rsidP="002A6F73">
      <w:pPr>
        <w:spacing w:line="400" w:lineRule="exact"/>
        <w:ind w:left="280" w:hangingChars="100" w:hanging="280"/>
        <w:rPr>
          <w:rFonts w:ascii="Times New Roman" w:eastAsia="標楷體" w:hAnsi="標楷體" w:cs="Times New Roman"/>
          <w:sz w:val="28"/>
          <w:szCs w:val="28"/>
        </w:rPr>
      </w:pPr>
      <w:r w:rsidRPr="000A4F7D">
        <w:rPr>
          <w:rFonts w:ascii="Times New Roman" w:eastAsia="標楷體" w:hAnsi="標楷體" w:cs="Times New Roman" w:hint="eastAsia"/>
          <w:sz w:val="28"/>
          <w:szCs w:val="28"/>
        </w:rPr>
        <w:t>3.</w:t>
      </w:r>
      <w:r w:rsidR="00850305" w:rsidRPr="000A4F7D">
        <w:rPr>
          <w:rFonts w:ascii="Times New Roman" w:eastAsia="標楷體" w:hAnsi="標楷體" w:cs="Times New Roman" w:hint="eastAsia"/>
          <w:sz w:val="28"/>
          <w:szCs w:val="28"/>
        </w:rPr>
        <w:t>公衛：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台大公衛學院</w:t>
      </w:r>
      <w:r w:rsidR="00850305" w:rsidRPr="000A4F7D">
        <w:rPr>
          <w:rFonts w:ascii="Times New Roman" w:eastAsia="標楷體" w:hAnsi="標楷體" w:cs="Times New Roman" w:hint="eastAsia"/>
          <w:sz w:val="28"/>
          <w:szCs w:val="28"/>
        </w:rPr>
        <w:t>陳秀熙教授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、台北醫學大學口腔衛生學系</w:t>
      </w:r>
      <w:r w:rsidR="00850305" w:rsidRPr="000A4F7D">
        <w:rPr>
          <w:rFonts w:ascii="Times New Roman" w:eastAsia="標楷體" w:hAnsi="標楷體" w:cs="Times New Roman" w:hint="eastAsia"/>
          <w:sz w:val="28"/>
          <w:szCs w:val="28"/>
        </w:rPr>
        <w:t>陳立昇助理教授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、台北醫學大學口腔衛生學系</w:t>
      </w:r>
      <w:r w:rsidR="00605E19" w:rsidRPr="000A4F7D">
        <w:rPr>
          <w:rFonts w:ascii="Times New Roman" w:eastAsia="標楷體" w:hAnsi="標楷體" w:cs="Times New Roman" w:hint="eastAsia"/>
          <w:sz w:val="28"/>
          <w:szCs w:val="28"/>
        </w:rPr>
        <w:t>嚴明芳助理教授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850305" w:rsidRPr="000A4F7D">
        <w:rPr>
          <w:rFonts w:ascii="Times New Roman" w:eastAsia="標楷體" w:hAnsi="標楷體" w:cs="Times New Roman" w:hint="eastAsia"/>
          <w:sz w:val="28"/>
          <w:szCs w:val="28"/>
        </w:rPr>
        <w:t>洪信嘉醫師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E15565" w:rsidRPr="000A4F7D">
        <w:rPr>
          <w:rFonts w:ascii="Times New Roman" w:eastAsia="標楷體" w:hAnsi="標楷體" w:cs="Times New Roman" w:hint="eastAsia"/>
          <w:sz w:val="28"/>
          <w:szCs w:val="28"/>
        </w:rPr>
        <w:t>蕭正光醫師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、板橋國小</w:t>
      </w:r>
      <w:r w:rsidR="00605E19" w:rsidRPr="000A4F7D">
        <w:rPr>
          <w:rFonts w:ascii="Times New Roman" w:eastAsia="標楷體" w:hAnsi="標楷體" w:cs="Times New Roman" w:hint="eastAsia"/>
          <w:sz w:val="28"/>
          <w:szCs w:val="28"/>
        </w:rPr>
        <w:t>賴敏華護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理師</w:t>
      </w:r>
    </w:p>
    <w:p w:rsidR="00E15565" w:rsidRPr="000A4F7D" w:rsidRDefault="000A4F7D" w:rsidP="000A4F7D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0A4F7D">
        <w:rPr>
          <w:rFonts w:ascii="Times New Roman" w:eastAsia="標楷體" w:hAnsi="標楷體" w:cs="Times New Roman" w:hint="eastAsia"/>
          <w:sz w:val="28"/>
          <w:szCs w:val="28"/>
        </w:rPr>
        <w:t>4.</w:t>
      </w:r>
      <w:r w:rsidR="00E15565" w:rsidRPr="000A4F7D">
        <w:rPr>
          <w:rFonts w:ascii="Times New Roman" w:eastAsia="標楷體" w:hAnsi="標楷體" w:cs="Times New Roman" w:hint="eastAsia"/>
          <w:sz w:val="28"/>
          <w:szCs w:val="28"/>
        </w:rPr>
        <w:t>健保：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全聯會總額主委</w:t>
      </w:r>
      <w:r w:rsidR="00E15565" w:rsidRPr="000A4F7D">
        <w:rPr>
          <w:rFonts w:ascii="Times New Roman" w:eastAsia="標楷體" w:hAnsi="標楷體" w:cs="Times New Roman" w:hint="eastAsia"/>
          <w:sz w:val="28"/>
          <w:szCs w:val="28"/>
        </w:rPr>
        <w:t>陳彥廷醫師</w:t>
      </w:r>
    </w:p>
    <w:p w:rsidR="000A4F7D" w:rsidRPr="000A4F7D" w:rsidRDefault="000A4F7D" w:rsidP="002A6F73">
      <w:pPr>
        <w:spacing w:line="400" w:lineRule="exact"/>
        <w:ind w:left="140" w:hangingChars="50" w:hanging="140"/>
        <w:rPr>
          <w:rFonts w:ascii="Times New Roman" w:eastAsia="標楷體" w:hAnsi="標楷體" w:cs="Times New Roman" w:hint="eastAsia"/>
          <w:sz w:val="28"/>
          <w:szCs w:val="28"/>
        </w:rPr>
      </w:pPr>
      <w:r w:rsidRPr="000A4F7D">
        <w:rPr>
          <w:rFonts w:ascii="Times New Roman" w:eastAsia="標楷體" w:hAnsi="標楷體" w:cs="Times New Roman" w:hint="eastAsia"/>
          <w:sz w:val="28"/>
          <w:szCs w:val="28"/>
        </w:rPr>
        <w:t>5.</w:t>
      </w:r>
      <w:r w:rsidR="00E15565" w:rsidRPr="000A4F7D">
        <w:rPr>
          <w:rFonts w:ascii="Times New Roman" w:eastAsia="標楷體" w:hAnsi="標楷體" w:cs="Times New Roman" w:hint="eastAsia"/>
          <w:sz w:val="28"/>
          <w:szCs w:val="28"/>
        </w:rPr>
        <w:t>臨床：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台北醫學大學牙醫學系</w:t>
      </w:r>
      <w:r w:rsidR="00605E19" w:rsidRPr="000A4F7D">
        <w:rPr>
          <w:rFonts w:ascii="Times New Roman" w:eastAsia="標楷體" w:hAnsi="標楷體" w:cs="Times New Roman" w:hint="eastAsia"/>
          <w:sz w:val="28"/>
          <w:szCs w:val="28"/>
        </w:rPr>
        <w:t>呂炫堃教授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、長庚醫院主治醫師</w:t>
      </w:r>
      <w:r w:rsidR="00E15565" w:rsidRPr="000A4F7D">
        <w:rPr>
          <w:rFonts w:ascii="Times New Roman" w:eastAsia="標楷體" w:hAnsi="標楷體" w:cs="Times New Roman" w:hint="eastAsia"/>
          <w:sz w:val="28"/>
          <w:szCs w:val="28"/>
        </w:rPr>
        <w:t>葉惠津醫師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0A4F7D">
        <w:rPr>
          <w:rFonts w:ascii="Times New Roman" w:eastAsia="標楷體" w:hAnsi="標楷體" w:cs="Times New Roman"/>
          <w:sz w:val="28"/>
          <w:szCs w:val="28"/>
        </w:rPr>
        <w:t>中山醫學大學附設醫院中港院區牙周病科主任</w:t>
      </w:r>
      <w:r w:rsidRPr="000A4F7D">
        <w:rPr>
          <w:rFonts w:ascii="標楷體" w:eastAsia="標楷體" w:hAnsi="標楷體" w:hint="eastAsia"/>
          <w:sz w:val="28"/>
          <w:szCs w:val="28"/>
        </w:rPr>
        <w:t>楊麗秋醫師、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羅東聖母醫院</w:t>
      </w:r>
      <w:r w:rsidR="000017AC" w:rsidRPr="000A4F7D">
        <w:rPr>
          <w:rFonts w:ascii="Times New Roman" w:eastAsia="標楷體" w:hAnsi="標楷體" w:cs="Times New Roman" w:hint="eastAsia"/>
          <w:sz w:val="28"/>
          <w:szCs w:val="28"/>
        </w:rPr>
        <w:t>周祐任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醫師、苗栗哈佛牙醫診所</w:t>
      </w:r>
      <w:r w:rsidR="000017AC" w:rsidRPr="000A4F7D">
        <w:rPr>
          <w:rFonts w:ascii="Times New Roman" w:eastAsia="標楷體" w:hAnsi="標楷體" w:cs="Times New Roman" w:hint="eastAsia"/>
          <w:sz w:val="28"/>
          <w:szCs w:val="28"/>
        </w:rPr>
        <w:t>詹景勛</w:t>
      </w:r>
      <w:r w:rsidRPr="000A4F7D">
        <w:rPr>
          <w:rFonts w:ascii="Times New Roman" w:eastAsia="標楷體" w:hAnsi="標楷體" w:cs="Times New Roman" w:hint="eastAsia"/>
          <w:sz w:val="28"/>
          <w:szCs w:val="28"/>
        </w:rPr>
        <w:t>醫師</w:t>
      </w:r>
    </w:p>
    <w:sectPr w:rsidR="000A4F7D" w:rsidRPr="000A4F7D" w:rsidSect="002A6F73">
      <w:pgSz w:w="11906" w:h="16838"/>
      <w:pgMar w:top="851" w:right="1558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7D" w:rsidRDefault="000A4F7D" w:rsidP="004B754E">
      <w:r>
        <w:separator/>
      </w:r>
    </w:p>
  </w:endnote>
  <w:endnote w:type="continuationSeparator" w:id="0">
    <w:p w:rsidR="000A4F7D" w:rsidRDefault="000A4F7D" w:rsidP="004B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7D" w:rsidRDefault="000A4F7D" w:rsidP="004B754E">
      <w:r>
        <w:separator/>
      </w:r>
    </w:p>
  </w:footnote>
  <w:footnote w:type="continuationSeparator" w:id="0">
    <w:p w:rsidR="000A4F7D" w:rsidRDefault="000A4F7D" w:rsidP="004B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4E"/>
    <w:rsid w:val="000017AC"/>
    <w:rsid w:val="000738C9"/>
    <w:rsid w:val="000A4F7D"/>
    <w:rsid w:val="002A6F73"/>
    <w:rsid w:val="00416586"/>
    <w:rsid w:val="00453B92"/>
    <w:rsid w:val="004B754E"/>
    <w:rsid w:val="005749B4"/>
    <w:rsid w:val="00605E19"/>
    <w:rsid w:val="00623D61"/>
    <w:rsid w:val="00734A9D"/>
    <w:rsid w:val="007B5376"/>
    <w:rsid w:val="0080173E"/>
    <w:rsid w:val="00850305"/>
    <w:rsid w:val="00B4737E"/>
    <w:rsid w:val="00B77CA7"/>
    <w:rsid w:val="00CF6F7E"/>
    <w:rsid w:val="00D53D28"/>
    <w:rsid w:val="00D74BDE"/>
    <w:rsid w:val="00DA2328"/>
    <w:rsid w:val="00E1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75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754E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47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75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754E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47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>Hewlett-Packard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Hongmin</dc:creator>
  <cp:lastModifiedBy>戴惠子</cp:lastModifiedBy>
  <cp:revision>2</cp:revision>
  <dcterms:created xsi:type="dcterms:W3CDTF">2012-09-22T10:47:00Z</dcterms:created>
  <dcterms:modified xsi:type="dcterms:W3CDTF">2012-09-22T10:47:00Z</dcterms:modified>
</cp:coreProperties>
</file>